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E40" w:rsidRPr="00BC181B" w:rsidRDefault="000861BF" w:rsidP="00B90D03">
      <w:pPr>
        <w:spacing w:line="360" w:lineRule="auto"/>
        <w:jc w:val="center"/>
        <w:rPr>
          <w:rFonts w:asciiTheme="minorHAnsi" w:hAnsiTheme="minorHAnsi"/>
          <w:b/>
          <w:bCs/>
          <w:sz w:val="24"/>
          <w:szCs w:val="24"/>
        </w:rPr>
      </w:pPr>
      <w:proofErr w:type="gramStart"/>
      <w:r>
        <w:rPr>
          <w:rFonts w:asciiTheme="minorHAnsi" w:hAnsiTheme="minorHAnsi"/>
          <w:b/>
          <w:bCs/>
          <w:sz w:val="24"/>
          <w:szCs w:val="24"/>
        </w:rPr>
        <w:t xml:space="preserve">Changes in </w:t>
      </w:r>
      <w:r w:rsidR="00FF48F9">
        <w:rPr>
          <w:rFonts w:asciiTheme="minorHAnsi" w:hAnsiTheme="minorHAnsi"/>
          <w:b/>
          <w:bCs/>
          <w:sz w:val="24"/>
          <w:szCs w:val="24"/>
        </w:rPr>
        <w:t xml:space="preserve">Individual </w:t>
      </w:r>
      <w:r>
        <w:rPr>
          <w:rFonts w:asciiTheme="minorHAnsi" w:hAnsiTheme="minorHAnsi"/>
          <w:b/>
          <w:bCs/>
          <w:sz w:val="24"/>
          <w:szCs w:val="24"/>
        </w:rPr>
        <w:t>and/</w:t>
      </w:r>
      <w:r w:rsidR="00FF48F9">
        <w:rPr>
          <w:rFonts w:asciiTheme="minorHAnsi" w:hAnsiTheme="minorHAnsi"/>
          <w:b/>
          <w:bCs/>
          <w:sz w:val="24"/>
          <w:szCs w:val="24"/>
        </w:rPr>
        <w:t>or Aggregate?</w:t>
      </w:r>
      <w:proofErr w:type="gramEnd"/>
    </w:p>
    <w:p w:rsidR="00837E40" w:rsidRPr="00BC181B" w:rsidRDefault="00837E40" w:rsidP="00B90D03">
      <w:pPr>
        <w:spacing w:line="360" w:lineRule="auto"/>
        <w:jc w:val="center"/>
        <w:rPr>
          <w:rFonts w:asciiTheme="minorHAnsi" w:hAnsiTheme="minorHAnsi"/>
          <w:sz w:val="24"/>
          <w:szCs w:val="24"/>
          <w:vertAlign w:val="superscript"/>
        </w:rPr>
      </w:pPr>
      <w:r w:rsidRPr="00BC181B">
        <w:rPr>
          <w:rFonts w:asciiTheme="minorHAnsi" w:hAnsiTheme="minorHAnsi"/>
          <w:sz w:val="24"/>
          <w:szCs w:val="24"/>
        </w:rPr>
        <w:t>John D. Hey</w:t>
      </w:r>
      <w:r w:rsidRPr="00BC181B">
        <w:rPr>
          <w:rFonts w:asciiTheme="minorHAnsi" w:hAnsiTheme="minorHAnsi"/>
          <w:sz w:val="24"/>
          <w:szCs w:val="24"/>
          <w:vertAlign w:val="superscript"/>
        </w:rPr>
        <w:t>a</w:t>
      </w:r>
      <w:r w:rsidRPr="00BC181B">
        <w:rPr>
          <w:rFonts w:asciiTheme="minorHAnsi" w:hAnsiTheme="minorHAnsi"/>
          <w:sz w:val="24"/>
          <w:szCs w:val="24"/>
        </w:rPr>
        <w:t xml:space="preserve"> and Noemi Pace</w:t>
      </w:r>
      <w:r w:rsidRPr="00BC181B">
        <w:rPr>
          <w:rFonts w:asciiTheme="minorHAnsi" w:hAnsiTheme="minorHAnsi"/>
          <w:sz w:val="24"/>
          <w:szCs w:val="24"/>
          <w:vertAlign w:val="superscript"/>
        </w:rPr>
        <w:t>b</w:t>
      </w:r>
    </w:p>
    <w:p w:rsidR="00837E40" w:rsidRPr="00BC181B" w:rsidRDefault="00837E40" w:rsidP="00B90D03">
      <w:pPr>
        <w:spacing w:line="360" w:lineRule="auto"/>
        <w:rPr>
          <w:rFonts w:asciiTheme="minorHAnsi" w:hAnsiTheme="minorHAnsi"/>
          <w:sz w:val="24"/>
          <w:szCs w:val="24"/>
        </w:rPr>
      </w:pPr>
    </w:p>
    <w:p w:rsidR="00837E40" w:rsidRPr="003C3E1C" w:rsidRDefault="00837E40" w:rsidP="00B90D03">
      <w:pPr>
        <w:spacing w:line="360" w:lineRule="auto"/>
        <w:jc w:val="both"/>
        <w:rPr>
          <w:rFonts w:asciiTheme="minorHAnsi" w:hAnsiTheme="minorHAnsi"/>
        </w:rPr>
      </w:pPr>
      <w:proofErr w:type="gramStart"/>
      <w:r w:rsidRPr="003C3E1C">
        <w:rPr>
          <w:rFonts w:asciiTheme="minorHAnsi" w:hAnsiTheme="minorHAnsi"/>
          <w:vertAlign w:val="superscript"/>
        </w:rPr>
        <w:t>a</w:t>
      </w:r>
      <w:r w:rsidRPr="003C3E1C">
        <w:rPr>
          <w:rFonts w:asciiTheme="minorHAnsi" w:hAnsiTheme="minorHAnsi"/>
        </w:rPr>
        <w:t>Department</w:t>
      </w:r>
      <w:proofErr w:type="gramEnd"/>
      <w:r w:rsidRPr="003C3E1C">
        <w:rPr>
          <w:rFonts w:asciiTheme="minorHAnsi" w:hAnsiTheme="minorHAnsi"/>
        </w:rPr>
        <w:t xml:space="preserve"> of Economics, University of York, Heslington, York YO10 5DD, UK, e-mail: john.hey@york.ac.uk; </w:t>
      </w:r>
    </w:p>
    <w:p w:rsidR="00837E40" w:rsidRPr="003C3E1C" w:rsidRDefault="00837E40" w:rsidP="00B90D03">
      <w:pPr>
        <w:spacing w:line="360" w:lineRule="auto"/>
        <w:jc w:val="both"/>
        <w:rPr>
          <w:rFonts w:asciiTheme="minorHAnsi" w:hAnsiTheme="minorHAnsi"/>
        </w:rPr>
      </w:pPr>
      <w:proofErr w:type="gramStart"/>
      <w:r w:rsidRPr="003C3E1C">
        <w:rPr>
          <w:rFonts w:asciiTheme="minorHAnsi" w:hAnsiTheme="minorHAnsi"/>
          <w:vertAlign w:val="superscript"/>
        </w:rPr>
        <w:t>b</w:t>
      </w:r>
      <w:r w:rsidRPr="003C3E1C">
        <w:rPr>
          <w:rFonts w:asciiTheme="minorHAnsi" w:hAnsiTheme="minorHAnsi"/>
        </w:rPr>
        <w:t>Department</w:t>
      </w:r>
      <w:proofErr w:type="gramEnd"/>
      <w:r w:rsidRPr="003C3E1C">
        <w:rPr>
          <w:rFonts w:asciiTheme="minorHAnsi" w:hAnsiTheme="minorHAnsi"/>
        </w:rPr>
        <w:t xml:space="preserve"> of Economics, University Ca’ Foscari of Venice, Cannaregio 873, 30121 Venezia, Italy, e-mail: n.pace@unive.it.</w:t>
      </w:r>
    </w:p>
    <w:p w:rsidR="00837E40" w:rsidRDefault="00837E40" w:rsidP="00B90D03">
      <w:pPr>
        <w:spacing w:line="360" w:lineRule="auto"/>
        <w:jc w:val="both"/>
        <w:rPr>
          <w:rFonts w:asciiTheme="minorHAnsi" w:hAnsiTheme="minorHAnsi"/>
          <w:sz w:val="24"/>
          <w:szCs w:val="24"/>
        </w:rPr>
      </w:pPr>
    </w:p>
    <w:p w:rsidR="001366C9" w:rsidRPr="003C3E1C" w:rsidRDefault="001366C9" w:rsidP="00B90D03">
      <w:pPr>
        <w:spacing w:line="360" w:lineRule="auto"/>
        <w:jc w:val="both"/>
        <w:rPr>
          <w:rFonts w:asciiTheme="minorHAnsi" w:hAnsiTheme="minorHAnsi"/>
        </w:rPr>
      </w:pPr>
    </w:p>
    <w:p w:rsidR="00837E40" w:rsidRPr="003C3E1C" w:rsidRDefault="00837E40" w:rsidP="000A177E">
      <w:pPr>
        <w:spacing w:line="360" w:lineRule="auto"/>
        <w:jc w:val="both"/>
        <w:rPr>
          <w:rFonts w:asciiTheme="minorHAnsi" w:hAnsiTheme="minorHAnsi"/>
        </w:rPr>
      </w:pPr>
      <w:r w:rsidRPr="003C3E1C">
        <w:rPr>
          <w:rFonts w:asciiTheme="minorHAnsi" w:hAnsiTheme="minorHAnsi"/>
          <w:b/>
        </w:rPr>
        <w:t>Abstract</w:t>
      </w:r>
    </w:p>
    <w:p w:rsidR="00821F76" w:rsidRPr="00BD66D7" w:rsidRDefault="001C3A42" w:rsidP="00B90D03">
      <w:pPr>
        <w:spacing w:line="360" w:lineRule="auto"/>
        <w:jc w:val="both"/>
        <w:rPr>
          <w:rFonts w:asciiTheme="minorHAnsi" w:hAnsiTheme="minorHAnsi"/>
        </w:rPr>
      </w:pPr>
      <w:r>
        <w:rPr>
          <w:rFonts w:asciiTheme="minorHAnsi" w:hAnsiTheme="minorHAnsi"/>
        </w:rPr>
        <w:t>The majority of papers reporting the results of experimental tests on individual behaviour usually concentrate on the average or aggregate</w:t>
      </w:r>
      <w:r w:rsidR="00BD66D7">
        <w:rPr>
          <w:rFonts w:asciiTheme="minorHAnsi" w:hAnsiTheme="minorHAnsi"/>
        </w:rPr>
        <w:t xml:space="preserve"> </w:t>
      </w:r>
      <w:r>
        <w:rPr>
          <w:rFonts w:asciiTheme="minorHAnsi" w:hAnsiTheme="minorHAnsi"/>
        </w:rPr>
        <w:t>behaviour of the subjects, even though different subjects may exhibit different kinds of behaviour. At the same time it is well-known that subjects are noisy in their responses</w:t>
      </w:r>
      <w:r w:rsidR="00BD66D7">
        <w:rPr>
          <w:rFonts w:asciiTheme="minorHAnsi" w:hAnsiTheme="minorHAnsi"/>
        </w:rPr>
        <w:t>, and thus may c</w:t>
      </w:r>
      <w:r w:rsidR="00FB4FD4">
        <w:rPr>
          <w:rFonts w:asciiTheme="minorHAnsi" w:hAnsiTheme="minorHAnsi"/>
        </w:rPr>
        <w:t>hange their behaviour during an</w:t>
      </w:r>
      <w:r w:rsidR="00BD66D7">
        <w:rPr>
          <w:rFonts w:asciiTheme="minorHAnsi" w:hAnsiTheme="minorHAnsi"/>
        </w:rPr>
        <w:t xml:space="preserve"> experiment</w:t>
      </w:r>
      <w:r>
        <w:rPr>
          <w:rFonts w:asciiTheme="minorHAnsi" w:hAnsiTheme="minorHAnsi"/>
        </w:rPr>
        <w:t>.</w:t>
      </w:r>
      <w:r w:rsidR="00D5178E">
        <w:rPr>
          <w:rFonts w:asciiTheme="minorHAnsi" w:hAnsiTheme="minorHAnsi"/>
        </w:rPr>
        <w:t xml:space="preserve"> The question then arises as to whether </w:t>
      </w:r>
      <w:r w:rsidR="00BD66D7">
        <w:rPr>
          <w:rFonts w:asciiTheme="minorHAnsi" w:hAnsiTheme="minorHAnsi"/>
        </w:rPr>
        <w:t xml:space="preserve">this noise causes </w:t>
      </w:r>
      <w:r w:rsidR="00BD66D7" w:rsidRPr="00BD66D7">
        <w:rPr>
          <w:rFonts w:asciiTheme="minorHAnsi" w:hAnsiTheme="minorHAnsi"/>
          <w:i/>
        </w:rPr>
        <w:t>average</w:t>
      </w:r>
      <w:r w:rsidR="00BD66D7">
        <w:rPr>
          <w:rFonts w:asciiTheme="minorHAnsi" w:hAnsiTheme="minorHAnsi"/>
        </w:rPr>
        <w:t xml:space="preserve"> behaviour to change</w:t>
      </w:r>
      <w:r w:rsidR="00D5178E">
        <w:rPr>
          <w:rFonts w:asciiTheme="minorHAnsi" w:hAnsiTheme="minorHAnsi"/>
        </w:rPr>
        <w:t xml:space="preserve"> during an e</w:t>
      </w:r>
      <w:r w:rsidR="00BD66D7">
        <w:rPr>
          <w:rFonts w:asciiTheme="minorHAnsi" w:hAnsiTheme="minorHAnsi"/>
        </w:rPr>
        <w:t>xperiment</w:t>
      </w:r>
      <w:r w:rsidR="00D5178E">
        <w:rPr>
          <w:rFonts w:asciiTheme="minorHAnsi" w:hAnsiTheme="minorHAnsi"/>
        </w:rPr>
        <w:t>.</w:t>
      </w:r>
      <w:r w:rsidR="00BD66D7">
        <w:rPr>
          <w:rFonts w:asciiTheme="minorHAnsi" w:hAnsiTheme="minorHAnsi"/>
        </w:rPr>
        <w:t xml:space="preserve"> We take the data from an experiment on behaviour under ambiguity, which tries to identify which preference functional subjects are using, and analyse it in two halves. We find that, while some individual preferences seem to change from the first to the second half, on </w:t>
      </w:r>
      <w:r w:rsidR="00BD66D7">
        <w:rPr>
          <w:rFonts w:asciiTheme="minorHAnsi" w:hAnsiTheme="minorHAnsi"/>
          <w:i/>
        </w:rPr>
        <w:t>average</w:t>
      </w:r>
      <w:r w:rsidR="007E0B8C">
        <w:rPr>
          <w:rFonts w:asciiTheme="minorHAnsi" w:hAnsiTheme="minorHAnsi"/>
        </w:rPr>
        <w:t>, preferences are unchanged</w:t>
      </w:r>
      <w:r w:rsidR="00FB4FD4">
        <w:rPr>
          <w:rFonts w:asciiTheme="minorHAnsi" w:hAnsiTheme="minorHAnsi"/>
        </w:rPr>
        <w:t xml:space="preserve"> (</w:t>
      </w:r>
      <w:r w:rsidR="007E0B8C">
        <w:rPr>
          <w:rFonts w:asciiTheme="minorHAnsi" w:hAnsiTheme="minorHAnsi"/>
        </w:rPr>
        <w:t xml:space="preserve">though there is a reduction in the noise </w:t>
      </w:r>
      <w:r w:rsidR="00BD66D7">
        <w:rPr>
          <w:rFonts w:asciiTheme="minorHAnsi" w:hAnsiTheme="minorHAnsi"/>
        </w:rPr>
        <w:t>in the second half</w:t>
      </w:r>
      <w:r w:rsidR="00FB4FD4">
        <w:rPr>
          <w:rFonts w:asciiTheme="minorHAnsi" w:hAnsiTheme="minorHAnsi"/>
        </w:rPr>
        <w:t>)</w:t>
      </w:r>
      <w:r w:rsidR="00BD66D7">
        <w:rPr>
          <w:rFonts w:asciiTheme="minorHAnsi" w:hAnsiTheme="minorHAnsi"/>
        </w:rPr>
        <w:t xml:space="preserve">. </w:t>
      </w:r>
      <w:r w:rsidR="00006827">
        <w:rPr>
          <w:rFonts w:asciiTheme="minorHAnsi" w:hAnsiTheme="minorHAnsi"/>
        </w:rPr>
        <w:t>This is a reass</w:t>
      </w:r>
      <w:r w:rsidR="007A7E90">
        <w:rPr>
          <w:rFonts w:asciiTheme="minorHAnsi" w:hAnsiTheme="minorHAnsi"/>
        </w:rPr>
        <w:t>uring message for those who want to draw inferences from experiments.</w:t>
      </w:r>
    </w:p>
    <w:p w:rsidR="001C3A42" w:rsidRPr="003C3E1C" w:rsidRDefault="001C3A42" w:rsidP="00B90D03">
      <w:pPr>
        <w:spacing w:line="360" w:lineRule="auto"/>
        <w:jc w:val="both"/>
        <w:rPr>
          <w:rFonts w:asciiTheme="minorHAnsi" w:hAnsiTheme="minorHAnsi"/>
        </w:rPr>
      </w:pPr>
    </w:p>
    <w:p w:rsidR="00821F76" w:rsidRPr="003C3E1C" w:rsidRDefault="00821F76" w:rsidP="00350916">
      <w:pPr>
        <w:spacing w:line="360" w:lineRule="auto"/>
        <w:jc w:val="both"/>
        <w:rPr>
          <w:rFonts w:asciiTheme="minorHAnsi" w:hAnsiTheme="minorHAnsi"/>
          <w:b/>
        </w:rPr>
      </w:pPr>
      <w:r w:rsidRPr="003C3E1C">
        <w:rPr>
          <w:rFonts w:asciiTheme="minorHAnsi" w:hAnsiTheme="minorHAnsi"/>
          <w:b/>
        </w:rPr>
        <w:t>Keywords</w:t>
      </w:r>
      <w:r w:rsidR="001A7483" w:rsidRPr="003C3E1C">
        <w:rPr>
          <w:rFonts w:asciiTheme="minorHAnsi" w:hAnsiTheme="minorHAnsi"/>
          <w:b/>
        </w:rPr>
        <w:t xml:space="preserve">: </w:t>
      </w:r>
      <w:r w:rsidR="00D25B17" w:rsidRPr="00D25B17">
        <w:rPr>
          <w:rFonts w:asciiTheme="minorHAnsi" w:hAnsiTheme="minorHAnsi"/>
        </w:rPr>
        <w:t>ambiguity,</w:t>
      </w:r>
      <w:r w:rsidR="00D25B17">
        <w:rPr>
          <w:rFonts w:asciiTheme="minorHAnsi" w:hAnsiTheme="minorHAnsi"/>
          <w:b/>
        </w:rPr>
        <w:t xml:space="preserve"> </w:t>
      </w:r>
      <w:r w:rsidR="00FC265E" w:rsidRPr="003C3E1C">
        <w:rPr>
          <w:rFonts w:asciiTheme="minorHAnsi" w:hAnsiTheme="minorHAnsi"/>
        </w:rPr>
        <w:t>errors, noise</w:t>
      </w:r>
      <w:r w:rsidRPr="003C3E1C">
        <w:rPr>
          <w:rFonts w:asciiTheme="minorHAnsi" w:hAnsiTheme="minorHAnsi"/>
        </w:rPr>
        <w:t>,</w:t>
      </w:r>
      <w:r w:rsidR="00954C25">
        <w:rPr>
          <w:rFonts w:asciiTheme="minorHAnsi" w:hAnsiTheme="minorHAnsi"/>
        </w:rPr>
        <w:t xml:space="preserve"> parameter estimates, precision, preferences.</w:t>
      </w:r>
    </w:p>
    <w:p w:rsidR="001A7483" w:rsidRPr="003C3E1C" w:rsidRDefault="001A7483" w:rsidP="00821F76">
      <w:pPr>
        <w:spacing w:line="360" w:lineRule="auto"/>
        <w:jc w:val="both"/>
        <w:rPr>
          <w:rFonts w:asciiTheme="minorHAnsi" w:hAnsiTheme="minorHAnsi"/>
        </w:rPr>
      </w:pPr>
    </w:p>
    <w:p w:rsidR="001A7483" w:rsidRPr="003C3E1C" w:rsidRDefault="001A7483" w:rsidP="00350916">
      <w:pPr>
        <w:spacing w:line="360" w:lineRule="auto"/>
        <w:jc w:val="both"/>
        <w:rPr>
          <w:rFonts w:asciiTheme="minorHAnsi" w:hAnsiTheme="minorHAnsi"/>
        </w:rPr>
      </w:pPr>
      <w:r w:rsidRPr="003C3E1C">
        <w:rPr>
          <w:rFonts w:asciiTheme="minorHAnsi" w:hAnsiTheme="minorHAnsi"/>
          <w:b/>
        </w:rPr>
        <w:t>JEL codes</w:t>
      </w:r>
      <w:r w:rsidRPr="003C3E1C">
        <w:rPr>
          <w:rFonts w:asciiTheme="minorHAnsi" w:hAnsiTheme="minorHAnsi"/>
        </w:rPr>
        <w:t>: D81</w:t>
      </w:r>
    </w:p>
    <w:p w:rsidR="00837E40" w:rsidRPr="003C3E1C" w:rsidRDefault="00837E40" w:rsidP="00B90D03">
      <w:pPr>
        <w:spacing w:line="360" w:lineRule="auto"/>
        <w:jc w:val="both"/>
        <w:rPr>
          <w:rFonts w:asciiTheme="minorHAnsi" w:hAnsiTheme="minorHAnsi"/>
        </w:rPr>
      </w:pPr>
    </w:p>
    <w:p w:rsidR="001A7483" w:rsidRPr="003C3E1C" w:rsidRDefault="001A7483">
      <w:pPr>
        <w:rPr>
          <w:rFonts w:asciiTheme="minorHAnsi" w:hAnsiTheme="minorHAnsi"/>
          <w:b/>
        </w:rPr>
      </w:pPr>
      <w:r w:rsidRPr="003C3E1C">
        <w:rPr>
          <w:rFonts w:asciiTheme="minorHAnsi" w:hAnsiTheme="minorHAnsi"/>
          <w:b/>
        </w:rPr>
        <w:br w:type="page"/>
      </w:r>
    </w:p>
    <w:p w:rsidR="00837E40" w:rsidRPr="003C3E1C" w:rsidRDefault="00837E40" w:rsidP="00D677D7">
      <w:pPr>
        <w:pStyle w:val="ListParagraph"/>
        <w:numPr>
          <w:ilvl w:val="0"/>
          <w:numId w:val="1"/>
        </w:numPr>
        <w:spacing w:line="360" w:lineRule="auto"/>
        <w:jc w:val="both"/>
        <w:rPr>
          <w:rFonts w:asciiTheme="minorHAnsi" w:hAnsiTheme="minorHAnsi"/>
          <w:b/>
        </w:rPr>
      </w:pPr>
      <w:r w:rsidRPr="003C3E1C">
        <w:rPr>
          <w:rFonts w:asciiTheme="minorHAnsi" w:hAnsiTheme="minorHAnsi"/>
          <w:b/>
        </w:rPr>
        <w:lastRenderedPageBreak/>
        <w:t>Introduction</w:t>
      </w:r>
    </w:p>
    <w:p w:rsidR="00837E40" w:rsidRDefault="000861BF" w:rsidP="00D677D7">
      <w:pPr>
        <w:spacing w:line="360" w:lineRule="auto"/>
        <w:jc w:val="both"/>
        <w:rPr>
          <w:rFonts w:asciiTheme="minorHAnsi" w:hAnsiTheme="minorHAnsi"/>
        </w:rPr>
      </w:pPr>
      <w:r>
        <w:rPr>
          <w:rFonts w:asciiTheme="minorHAnsi" w:hAnsiTheme="minorHAnsi"/>
        </w:rPr>
        <w:t>In experiments the interest is usually</w:t>
      </w:r>
      <w:r w:rsidR="00497E23">
        <w:rPr>
          <w:rFonts w:asciiTheme="minorHAnsi" w:hAnsiTheme="minorHAnsi"/>
        </w:rPr>
        <w:t xml:space="preserve"> in </w:t>
      </w:r>
      <w:r w:rsidR="007A7E90">
        <w:rPr>
          <w:rFonts w:asciiTheme="minorHAnsi" w:hAnsiTheme="minorHAnsi"/>
        </w:rPr>
        <w:t xml:space="preserve">the </w:t>
      </w:r>
      <w:r w:rsidR="00497E23">
        <w:rPr>
          <w:rFonts w:asciiTheme="minorHAnsi" w:hAnsiTheme="minorHAnsi"/>
        </w:rPr>
        <w:t>aggregate o</w:t>
      </w:r>
      <w:r w:rsidR="00B4468C">
        <w:rPr>
          <w:rFonts w:asciiTheme="minorHAnsi" w:hAnsiTheme="minorHAnsi"/>
        </w:rPr>
        <w:t>r average behaviour of subjects;</w:t>
      </w:r>
      <w:r w:rsidR="00497E23">
        <w:rPr>
          <w:rFonts w:asciiTheme="minorHAnsi" w:hAnsiTheme="minorHAnsi"/>
        </w:rPr>
        <w:t xml:space="preserve"> </w:t>
      </w:r>
      <w:r w:rsidR="00B4468C">
        <w:rPr>
          <w:rFonts w:asciiTheme="minorHAnsi" w:hAnsiTheme="minorHAnsi"/>
        </w:rPr>
        <w:t>t</w:t>
      </w:r>
      <w:r w:rsidR="00BD72EB">
        <w:rPr>
          <w:rFonts w:asciiTheme="minorHAnsi" w:hAnsiTheme="minorHAnsi"/>
        </w:rPr>
        <w:t>hat is why most experiments have a ‘large’ number of subjects. At the same time it is well-known that subjects’</w:t>
      </w:r>
      <w:r w:rsidR="00B4468C">
        <w:rPr>
          <w:rFonts w:asciiTheme="minorHAnsi" w:hAnsiTheme="minorHAnsi"/>
        </w:rPr>
        <w:t xml:space="preserve"> behaviour is noisy;</w:t>
      </w:r>
      <w:r w:rsidR="00BD72EB">
        <w:rPr>
          <w:rFonts w:asciiTheme="minorHAnsi" w:hAnsiTheme="minorHAnsi"/>
        </w:rPr>
        <w:t xml:space="preserve"> </w:t>
      </w:r>
      <w:r w:rsidR="00B4468C">
        <w:rPr>
          <w:rFonts w:asciiTheme="minorHAnsi" w:hAnsiTheme="minorHAnsi"/>
        </w:rPr>
        <w:t>t</w:t>
      </w:r>
      <w:r w:rsidR="00BD72EB">
        <w:rPr>
          <w:rFonts w:asciiTheme="minorHAnsi" w:hAnsiTheme="minorHAnsi"/>
        </w:rPr>
        <w:t xml:space="preserve">hat is why most experiments have a ‘large’ number of questions. Normally it is assumed that the noise in behaviour is random, and not systematic, but it may be the case that </w:t>
      </w:r>
      <w:r w:rsidR="007A7E90">
        <w:rPr>
          <w:rFonts w:asciiTheme="minorHAnsi" w:hAnsiTheme="minorHAnsi"/>
        </w:rPr>
        <w:t xml:space="preserve">individual </w:t>
      </w:r>
      <w:r w:rsidR="00BD72EB">
        <w:rPr>
          <w:rFonts w:asciiTheme="minorHAnsi" w:hAnsiTheme="minorHAnsi"/>
        </w:rPr>
        <w:t>preferences (or at least perceived or estimated preferences) change during an experiment, as subjects learn about the experiment or about themselves.</w:t>
      </w:r>
      <w:r w:rsidR="00B4468C">
        <w:rPr>
          <w:rFonts w:asciiTheme="minorHAnsi" w:hAnsiTheme="minorHAnsi"/>
        </w:rPr>
        <w:t xml:space="preserve"> The central issue examined in this paper is whether these changes are solely at an individual</w:t>
      </w:r>
      <w:r w:rsidR="00E659B0">
        <w:rPr>
          <w:rFonts w:asciiTheme="minorHAnsi" w:hAnsiTheme="minorHAnsi"/>
        </w:rPr>
        <w:t xml:space="preserve"> level</w:t>
      </w:r>
      <w:r w:rsidR="00B4468C">
        <w:rPr>
          <w:rFonts w:asciiTheme="minorHAnsi" w:hAnsiTheme="minorHAnsi"/>
        </w:rPr>
        <w:t xml:space="preserve"> or whether they influence the average conclusions taken from an experiment</w:t>
      </w:r>
      <w:r w:rsidR="007A7E90">
        <w:rPr>
          <w:rFonts w:asciiTheme="minorHAnsi" w:hAnsiTheme="minorHAnsi"/>
        </w:rPr>
        <w:t>. We address this issue using data from an experiment aimed at inferring the preferences in conditions o</w:t>
      </w:r>
      <w:r w:rsidR="00C069CE">
        <w:rPr>
          <w:rFonts w:asciiTheme="minorHAnsi" w:hAnsiTheme="minorHAnsi"/>
        </w:rPr>
        <w:t>f ambiguity, where subjects are categorised in terms of the ambiguity preference functional they appear to be using.</w:t>
      </w:r>
    </w:p>
    <w:p w:rsidR="00497E23" w:rsidRPr="003C3E1C" w:rsidRDefault="00497E23" w:rsidP="00D677D7">
      <w:pPr>
        <w:spacing w:line="360" w:lineRule="auto"/>
        <w:jc w:val="both"/>
        <w:rPr>
          <w:rFonts w:asciiTheme="minorHAnsi" w:hAnsiTheme="minorHAnsi"/>
        </w:rPr>
      </w:pPr>
    </w:p>
    <w:p w:rsidR="00837E40" w:rsidRPr="003C3E1C" w:rsidRDefault="00837E40" w:rsidP="0035033F">
      <w:pPr>
        <w:pStyle w:val="ListParagraph"/>
        <w:numPr>
          <w:ilvl w:val="0"/>
          <w:numId w:val="1"/>
        </w:numPr>
        <w:spacing w:line="360" w:lineRule="auto"/>
        <w:jc w:val="both"/>
        <w:rPr>
          <w:rFonts w:asciiTheme="minorHAnsi" w:hAnsiTheme="minorHAnsi"/>
          <w:b/>
        </w:rPr>
      </w:pPr>
      <w:r w:rsidRPr="003C3E1C">
        <w:rPr>
          <w:rFonts w:asciiTheme="minorHAnsi" w:hAnsiTheme="minorHAnsi"/>
          <w:b/>
        </w:rPr>
        <w:t>The context</w:t>
      </w:r>
    </w:p>
    <w:p w:rsidR="00837E40" w:rsidRPr="003C3E1C" w:rsidRDefault="00837E40" w:rsidP="00C069CE">
      <w:pPr>
        <w:spacing w:line="360" w:lineRule="auto"/>
        <w:jc w:val="both"/>
        <w:rPr>
          <w:rFonts w:asciiTheme="minorHAnsi" w:hAnsiTheme="minorHAnsi"/>
        </w:rPr>
      </w:pPr>
      <w:r w:rsidRPr="003C3E1C">
        <w:rPr>
          <w:rFonts w:asciiTheme="minorHAnsi" w:hAnsiTheme="minorHAnsi"/>
        </w:rPr>
        <w:t>Our analysis is set in the context of an experiment designed to find the preferences of subjects under ambiguity. The experiment is reported</w:t>
      </w:r>
      <w:r w:rsidR="001C1BF6" w:rsidRPr="003C3E1C">
        <w:rPr>
          <w:rFonts w:asciiTheme="minorHAnsi" w:hAnsiTheme="minorHAnsi"/>
        </w:rPr>
        <w:t xml:space="preserve"> in detail in </w:t>
      </w:r>
      <w:hyperlink r:id="rId9" w:anchor="tab-1" w:history="1">
        <w:r w:rsidR="001C1BF6" w:rsidRPr="00240818">
          <w:rPr>
            <w:rStyle w:val="Hyperlink"/>
            <w:rFonts w:asciiTheme="minorHAnsi" w:hAnsiTheme="minorHAnsi"/>
          </w:rPr>
          <w:t>Hey and Pace (</w:t>
        </w:r>
        <w:r w:rsidR="0037408F" w:rsidRPr="00240818">
          <w:rPr>
            <w:rStyle w:val="Hyperlink"/>
            <w:rFonts w:asciiTheme="minorHAnsi" w:hAnsiTheme="minorHAnsi"/>
          </w:rPr>
          <w:t>201</w:t>
        </w:r>
        <w:r w:rsidR="00240818" w:rsidRPr="00240818">
          <w:rPr>
            <w:rStyle w:val="Hyperlink"/>
            <w:rFonts w:asciiTheme="minorHAnsi" w:hAnsiTheme="minorHAnsi"/>
          </w:rPr>
          <w:t>4</w:t>
        </w:r>
        <w:r w:rsidRPr="00240818">
          <w:rPr>
            <w:rStyle w:val="Hyperlink"/>
            <w:rFonts w:asciiTheme="minorHAnsi" w:hAnsiTheme="minorHAnsi"/>
          </w:rPr>
          <w:t>).</w:t>
        </w:r>
      </w:hyperlink>
      <w:r w:rsidRPr="003C3E1C">
        <w:rPr>
          <w:rFonts w:asciiTheme="minorHAnsi" w:hAnsiTheme="minorHAnsi"/>
        </w:rPr>
        <w:t xml:space="preserve"> We give here only sufficient detail to appreciate the objective of that experiment, the methodology used and the inferences that we wished to draw. </w:t>
      </w:r>
    </w:p>
    <w:p w:rsidR="0052504B" w:rsidRDefault="001A7483" w:rsidP="00C069CE">
      <w:pPr>
        <w:spacing w:line="360" w:lineRule="auto"/>
        <w:jc w:val="both"/>
        <w:rPr>
          <w:rFonts w:asciiTheme="minorHAnsi" w:hAnsiTheme="minorHAnsi"/>
        </w:rPr>
      </w:pPr>
      <w:r w:rsidRPr="003C3E1C">
        <w:rPr>
          <w:rFonts w:asciiTheme="minorHAnsi" w:hAnsiTheme="minorHAnsi"/>
        </w:rPr>
        <w:t>T</w:t>
      </w:r>
      <w:r w:rsidR="00837E40" w:rsidRPr="003C3E1C">
        <w:rPr>
          <w:rFonts w:asciiTheme="minorHAnsi" w:hAnsiTheme="minorHAnsi"/>
        </w:rPr>
        <w:t>he experiment was designed to see which of five models of behaviour under ambiguity</w:t>
      </w:r>
      <w:r w:rsidR="0037408F">
        <w:rPr>
          <w:rStyle w:val="FootnoteReference"/>
          <w:rFonts w:asciiTheme="minorHAnsi" w:hAnsiTheme="minorHAnsi"/>
        </w:rPr>
        <w:footnoteReference w:id="1"/>
      </w:r>
      <w:r w:rsidR="00837E40" w:rsidRPr="003C3E1C">
        <w:rPr>
          <w:rFonts w:asciiTheme="minorHAnsi" w:hAnsiTheme="minorHAnsi"/>
        </w:rPr>
        <w:t xml:space="preserve"> appear to be </w:t>
      </w:r>
      <w:r w:rsidR="0045407D" w:rsidRPr="003C3E1C">
        <w:rPr>
          <w:rFonts w:asciiTheme="minorHAnsi" w:hAnsiTheme="minorHAnsi"/>
        </w:rPr>
        <w:t xml:space="preserve">the </w:t>
      </w:r>
      <w:r w:rsidR="00837E40" w:rsidRPr="003C3E1C">
        <w:rPr>
          <w:rFonts w:asciiTheme="minorHAnsi" w:hAnsiTheme="minorHAnsi"/>
        </w:rPr>
        <w:t xml:space="preserve">most empirically appealing, both from a </w:t>
      </w:r>
      <w:r w:rsidR="0045407D" w:rsidRPr="003C3E1C">
        <w:rPr>
          <w:rFonts w:asciiTheme="minorHAnsi" w:hAnsiTheme="minorHAnsi"/>
        </w:rPr>
        <w:t xml:space="preserve">descriptive and a predictive </w:t>
      </w:r>
      <w:r w:rsidR="00837E40" w:rsidRPr="003C3E1C">
        <w:rPr>
          <w:rFonts w:asciiTheme="minorHAnsi" w:hAnsiTheme="minorHAnsi"/>
        </w:rPr>
        <w:t>point</w:t>
      </w:r>
      <w:r w:rsidR="0045407D" w:rsidRPr="003C3E1C">
        <w:rPr>
          <w:rFonts w:asciiTheme="minorHAnsi" w:hAnsiTheme="minorHAnsi"/>
        </w:rPr>
        <w:t xml:space="preserve"> of view</w:t>
      </w:r>
      <w:r w:rsidR="00837E40" w:rsidRPr="003C3E1C">
        <w:rPr>
          <w:rFonts w:asciiTheme="minorHAnsi" w:hAnsiTheme="minorHAnsi"/>
        </w:rPr>
        <w:t>.</w:t>
      </w:r>
      <w:r w:rsidR="0069485C">
        <w:rPr>
          <w:rFonts w:asciiTheme="minorHAnsi" w:hAnsiTheme="minorHAnsi"/>
        </w:rPr>
        <w:t xml:space="preserve"> From the results </w:t>
      </w:r>
      <w:r w:rsidR="0052504B">
        <w:rPr>
          <w:rFonts w:asciiTheme="minorHAnsi" w:hAnsiTheme="minorHAnsi"/>
        </w:rPr>
        <w:t xml:space="preserve">of that experiment </w:t>
      </w:r>
      <w:r w:rsidR="0069485C">
        <w:rPr>
          <w:rFonts w:asciiTheme="minorHAnsi" w:hAnsiTheme="minorHAnsi"/>
        </w:rPr>
        <w:t>two of the models can be eliminated from consideration</w:t>
      </w:r>
      <w:r w:rsidR="0052504B">
        <w:rPr>
          <w:rFonts w:asciiTheme="minorHAnsi" w:hAnsiTheme="minorHAnsi"/>
        </w:rPr>
        <w:t xml:space="preserve"> from an empirical point of view,</w:t>
      </w:r>
      <w:r w:rsidR="0069485C">
        <w:rPr>
          <w:rFonts w:asciiTheme="minorHAnsi" w:hAnsiTheme="minorHAnsi"/>
        </w:rPr>
        <w:t xml:space="preserve"> so we concentrate here on the three best-fitting models: </w:t>
      </w:r>
      <w:r w:rsidR="00837E40" w:rsidRPr="003C3E1C">
        <w:rPr>
          <w:rFonts w:asciiTheme="minorHAnsi" w:hAnsiTheme="minorHAnsi"/>
        </w:rPr>
        <w:t>Subjective Expected Utility</w:t>
      </w:r>
      <w:r w:rsidR="0069485C">
        <w:rPr>
          <w:rFonts w:asciiTheme="minorHAnsi" w:hAnsiTheme="minorHAnsi"/>
        </w:rPr>
        <w:t xml:space="preserve"> theory (SEU), </w:t>
      </w:r>
      <w:r w:rsidR="00837E40" w:rsidRPr="003C3E1C">
        <w:rPr>
          <w:rFonts w:asciiTheme="minorHAnsi" w:hAnsiTheme="minorHAnsi"/>
        </w:rPr>
        <w:t>Alpha Expected Ut</w:t>
      </w:r>
      <w:r w:rsidR="0037408F">
        <w:rPr>
          <w:rFonts w:asciiTheme="minorHAnsi" w:hAnsiTheme="minorHAnsi"/>
        </w:rPr>
        <w:t>ility (AEU) and</w:t>
      </w:r>
      <w:r w:rsidR="00837E40" w:rsidRPr="003C3E1C">
        <w:rPr>
          <w:rFonts w:asciiTheme="minorHAnsi" w:hAnsiTheme="minorHAnsi"/>
        </w:rPr>
        <w:t xml:space="preserve"> Vector E</w:t>
      </w:r>
      <w:r w:rsidR="0069485C">
        <w:rPr>
          <w:rFonts w:asciiTheme="minorHAnsi" w:hAnsiTheme="minorHAnsi"/>
        </w:rPr>
        <w:t>xpected Utility (VEU)</w:t>
      </w:r>
      <w:r w:rsidR="003076E8">
        <w:rPr>
          <w:rStyle w:val="FootnoteReference"/>
          <w:rFonts w:asciiTheme="minorHAnsi" w:hAnsiTheme="minorHAnsi"/>
        </w:rPr>
        <w:footnoteReference w:id="2"/>
      </w:r>
      <w:r w:rsidR="0052504B">
        <w:rPr>
          <w:rFonts w:asciiTheme="minorHAnsi" w:hAnsiTheme="minorHAnsi"/>
        </w:rPr>
        <w:t>. These three</w:t>
      </w:r>
      <w:r w:rsidR="00837E40" w:rsidRPr="003C3E1C">
        <w:rPr>
          <w:rFonts w:asciiTheme="minorHAnsi" w:hAnsiTheme="minorHAnsi"/>
        </w:rPr>
        <w:t xml:space="preserve"> models were parameterised; the number of parameters differing fr</w:t>
      </w:r>
      <w:r w:rsidR="0037408F">
        <w:rPr>
          <w:rFonts w:asciiTheme="minorHAnsi" w:hAnsiTheme="minorHAnsi"/>
        </w:rPr>
        <w:t>om model to model; SEU 2</w:t>
      </w:r>
      <w:r w:rsidR="003076E8">
        <w:rPr>
          <w:rFonts w:asciiTheme="minorHAnsi" w:hAnsiTheme="minorHAnsi"/>
        </w:rPr>
        <w:t xml:space="preserve"> (the perceived </w:t>
      </w:r>
      <w:r w:rsidR="007F4B99">
        <w:rPr>
          <w:rFonts w:asciiTheme="minorHAnsi" w:hAnsiTheme="minorHAnsi"/>
        </w:rPr>
        <w:t xml:space="preserve">additive </w:t>
      </w:r>
      <w:r w:rsidR="003076E8">
        <w:rPr>
          <w:rFonts w:asciiTheme="minorHAnsi" w:hAnsiTheme="minorHAnsi"/>
        </w:rPr>
        <w:t>probabilities)</w:t>
      </w:r>
      <w:r w:rsidR="0037408F">
        <w:rPr>
          <w:rFonts w:asciiTheme="minorHAnsi" w:hAnsiTheme="minorHAnsi"/>
        </w:rPr>
        <w:t>, AEU 4</w:t>
      </w:r>
      <w:r w:rsidR="003076E8">
        <w:rPr>
          <w:rFonts w:asciiTheme="minorHAnsi" w:hAnsiTheme="minorHAnsi"/>
        </w:rPr>
        <w:t xml:space="preserve"> (the perceived lower bounds on the probabilities and a parameter, </w:t>
      </w:r>
      <w:r w:rsidR="003076E8">
        <w:rPr>
          <w:rFonts w:asciiTheme="minorHAnsi" w:hAnsiTheme="minorHAnsi"/>
          <w:i/>
        </w:rPr>
        <w:t>α</w:t>
      </w:r>
      <w:r w:rsidR="0037408F">
        <w:rPr>
          <w:rFonts w:asciiTheme="minorHAnsi" w:hAnsiTheme="minorHAnsi"/>
        </w:rPr>
        <w:t>,</w:t>
      </w:r>
      <w:r w:rsidR="003076E8">
        <w:rPr>
          <w:rFonts w:asciiTheme="minorHAnsi" w:hAnsiTheme="minorHAnsi"/>
        </w:rPr>
        <w:t xml:space="preserve"> indicating the pessimism/optimism of the subject)</w:t>
      </w:r>
      <w:r w:rsidR="0037408F">
        <w:rPr>
          <w:rFonts w:asciiTheme="minorHAnsi" w:hAnsiTheme="minorHAnsi"/>
        </w:rPr>
        <w:t xml:space="preserve"> and VEU 3</w:t>
      </w:r>
      <w:r w:rsidR="003076E8">
        <w:rPr>
          <w:rFonts w:asciiTheme="minorHAnsi" w:hAnsiTheme="minorHAnsi"/>
        </w:rPr>
        <w:t xml:space="preserve"> (the perceived </w:t>
      </w:r>
      <w:r w:rsidR="007F4B99">
        <w:rPr>
          <w:rFonts w:asciiTheme="minorHAnsi" w:hAnsiTheme="minorHAnsi"/>
        </w:rPr>
        <w:t xml:space="preserve">additive </w:t>
      </w:r>
      <w:r w:rsidR="003076E8">
        <w:rPr>
          <w:rFonts w:asciiTheme="minorHAnsi" w:hAnsiTheme="minorHAnsi"/>
        </w:rPr>
        <w:t xml:space="preserve">probabilities and a parameter, </w:t>
      </w:r>
      <w:r w:rsidR="009B44E3">
        <w:rPr>
          <w:rFonts w:asciiTheme="minorHAnsi" w:hAnsiTheme="minorHAnsi"/>
          <w:i/>
        </w:rPr>
        <w:t>δ</w:t>
      </w:r>
      <w:r w:rsidR="009B44E3">
        <w:rPr>
          <w:rFonts w:asciiTheme="minorHAnsi" w:hAnsiTheme="minorHAnsi"/>
        </w:rPr>
        <w:t>, indicating the perception of the ambiguity)</w:t>
      </w:r>
      <w:r w:rsidR="00837E40" w:rsidRPr="003C3E1C">
        <w:rPr>
          <w:rFonts w:asciiTheme="minorHAnsi" w:hAnsiTheme="minorHAnsi"/>
        </w:rPr>
        <w:t xml:space="preserve">. All these models embody a utility function and we took a functional form (CRRA) with one parameter, </w:t>
      </w:r>
      <w:r w:rsidR="00837E40" w:rsidRPr="003C3E1C">
        <w:rPr>
          <w:rFonts w:asciiTheme="minorHAnsi" w:hAnsiTheme="minorHAnsi"/>
          <w:i/>
        </w:rPr>
        <w:t>r</w:t>
      </w:r>
      <w:r w:rsidR="00837E40" w:rsidRPr="003C3E1C">
        <w:rPr>
          <w:rFonts w:asciiTheme="minorHAnsi" w:hAnsiTheme="minorHAnsi"/>
        </w:rPr>
        <w:t>, indicating the risk-aversion of the subject. In addition</w:t>
      </w:r>
      <w:r w:rsidR="00B26A49" w:rsidRPr="003C3E1C">
        <w:rPr>
          <w:rFonts w:asciiTheme="minorHAnsi" w:hAnsiTheme="minorHAnsi"/>
        </w:rPr>
        <w:t>, recognising that subjects always express any decision with some error or noise,</w:t>
      </w:r>
      <w:r w:rsidR="00837E40" w:rsidRPr="003C3E1C">
        <w:rPr>
          <w:rFonts w:asciiTheme="minorHAnsi" w:hAnsiTheme="minorHAnsi"/>
        </w:rPr>
        <w:t xml:space="preserve"> we specified the noise in the subjects’ responses by using a beta distribution, with one parameter, </w:t>
      </w:r>
      <w:r w:rsidR="00837E40" w:rsidRPr="003C3E1C">
        <w:rPr>
          <w:rFonts w:asciiTheme="minorHAnsi" w:hAnsiTheme="minorHAnsi"/>
          <w:i/>
        </w:rPr>
        <w:t>s</w:t>
      </w:r>
      <w:r w:rsidR="00837E40" w:rsidRPr="003C3E1C">
        <w:rPr>
          <w:rFonts w:asciiTheme="minorHAnsi" w:hAnsiTheme="minorHAnsi"/>
        </w:rPr>
        <w:t xml:space="preserve">, indicating the </w:t>
      </w:r>
      <w:r w:rsidR="00837E40" w:rsidRPr="003C3E1C">
        <w:rPr>
          <w:rFonts w:asciiTheme="minorHAnsi" w:hAnsiTheme="minorHAnsi"/>
          <w:i/>
        </w:rPr>
        <w:t xml:space="preserve">precision </w:t>
      </w:r>
      <w:r w:rsidR="00837E40" w:rsidRPr="003C3E1C">
        <w:rPr>
          <w:rFonts w:asciiTheme="minorHAnsi" w:hAnsiTheme="minorHAnsi"/>
        </w:rPr>
        <w:t>in the subject’s responses</w:t>
      </w:r>
      <w:r w:rsidR="00556265">
        <w:rPr>
          <w:rStyle w:val="FootnoteReference"/>
          <w:rFonts w:asciiTheme="minorHAnsi" w:hAnsiTheme="minorHAnsi"/>
        </w:rPr>
        <w:footnoteReference w:id="3"/>
      </w:r>
      <w:r w:rsidR="0045407D" w:rsidRPr="003C3E1C">
        <w:rPr>
          <w:rFonts w:asciiTheme="minorHAnsi" w:hAnsiTheme="minorHAnsi"/>
        </w:rPr>
        <w:t>.</w:t>
      </w:r>
      <w:r w:rsidR="00821F76" w:rsidRPr="003C3E1C">
        <w:rPr>
          <w:rFonts w:asciiTheme="minorHAnsi" w:hAnsiTheme="minorHAnsi"/>
        </w:rPr>
        <w:t xml:space="preserve"> </w:t>
      </w:r>
    </w:p>
    <w:p w:rsidR="00837E40" w:rsidRPr="003C3E1C" w:rsidRDefault="002F2447" w:rsidP="002F2447">
      <w:pPr>
        <w:spacing w:line="360" w:lineRule="auto"/>
        <w:jc w:val="both"/>
        <w:rPr>
          <w:rFonts w:asciiTheme="minorHAnsi" w:hAnsiTheme="minorHAnsi"/>
        </w:rPr>
      </w:pPr>
      <w:r>
        <w:rPr>
          <w:rFonts w:asciiTheme="minorHAnsi" w:hAnsiTheme="minorHAnsi"/>
        </w:rPr>
        <w:lastRenderedPageBreak/>
        <w:t>Th</w:t>
      </w:r>
      <w:r w:rsidR="00837E40" w:rsidRPr="003C3E1C">
        <w:rPr>
          <w:rFonts w:asciiTheme="minorHAnsi" w:hAnsiTheme="minorHAnsi"/>
        </w:rPr>
        <w:t>e data was obtained from an experiment with 76 allocation questions, each asking the subjects to allocate a given number of tokens</w:t>
      </w:r>
      <w:r w:rsidR="0045407D" w:rsidRPr="003C3E1C">
        <w:rPr>
          <w:rFonts w:asciiTheme="minorHAnsi" w:hAnsiTheme="minorHAnsi"/>
        </w:rPr>
        <w:t xml:space="preserve"> between three ambiguous events –</w:t>
      </w:r>
      <w:r w:rsidR="00837E40" w:rsidRPr="003C3E1C">
        <w:rPr>
          <w:rFonts w:asciiTheme="minorHAnsi" w:hAnsiTheme="minorHAnsi"/>
        </w:rPr>
        <w:t xml:space="preserve"> the colour of a ball drawn from a Bingo Blower</w:t>
      </w:r>
      <w:r w:rsidR="002213FD" w:rsidRPr="003C3E1C">
        <w:rPr>
          <w:rStyle w:val="FootnoteReference"/>
          <w:rFonts w:asciiTheme="minorHAnsi" w:hAnsiTheme="minorHAnsi"/>
        </w:rPr>
        <w:footnoteReference w:id="4"/>
      </w:r>
      <w:r w:rsidR="0045407D" w:rsidRPr="003C3E1C">
        <w:rPr>
          <w:rFonts w:asciiTheme="minorHAnsi" w:hAnsiTheme="minorHAnsi"/>
        </w:rPr>
        <w:t xml:space="preserve"> – with known and given exchange rates between tokens and money for each colour and for each problem</w:t>
      </w:r>
      <w:r w:rsidR="00837E40" w:rsidRPr="003C3E1C">
        <w:rPr>
          <w:rFonts w:asciiTheme="minorHAnsi" w:hAnsiTheme="minorHAnsi"/>
        </w:rPr>
        <w:t>.</w:t>
      </w:r>
      <w:r w:rsidR="0045407D" w:rsidRPr="003C3E1C">
        <w:rPr>
          <w:rStyle w:val="FootnoteReference"/>
          <w:rFonts w:asciiTheme="minorHAnsi" w:hAnsiTheme="minorHAnsi"/>
        </w:rPr>
        <w:footnoteReference w:id="5"/>
      </w:r>
      <w:r w:rsidR="00837E40" w:rsidRPr="003C3E1C">
        <w:rPr>
          <w:rFonts w:asciiTheme="minorHAnsi" w:hAnsiTheme="minorHAnsi"/>
        </w:rPr>
        <w:t xml:space="preserve"> Subjects were paid on a randomly selected question, and the average payment was £19.56. There were two treatments which varied in the amount of ambiguity implied by the Bingo Blower: Treatment 1, in which the Blower contained just 10 balls; Treatment 2: in which it contained 40 balls. Treatment 1 is effectively a case of risk, as the balls of each colour could be counted; Treatment 2 is quite clearly an ambiguous situation as the balls cannot be counted.</w:t>
      </w:r>
      <w:r w:rsidR="00001B8D">
        <w:rPr>
          <w:rFonts w:asciiTheme="minorHAnsi" w:hAnsiTheme="minorHAnsi"/>
        </w:rPr>
        <w:t xml:space="preserve"> We report here the resul</w:t>
      </w:r>
      <w:r w:rsidR="00981ABE">
        <w:rPr>
          <w:rFonts w:asciiTheme="minorHAnsi" w:hAnsiTheme="minorHAnsi"/>
        </w:rPr>
        <w:t>ts for both treatments combined sin</w:t>
      </w:r>
      <w:r w:rsidR="004070D5">
        <w:rPr>
          <w:rFonts w:asciiTheme="minorHAnsi" w:hAnsiTheme="minorHAnsi"/>
        </w:rPr>
        <w:t>ce the results we report here are</w:t>
      </w:r>
      <w:r w:rsidR="007F4B99">
        <w:rPr>
          <w:rFonts w:asciiTheme="minorHAnsi" w:hAnsiTheme="minorHAnsi"/>
        </w:rPr>
        <w:t xml:space="preserve"> not affected</w:t>
      </w:r>
      <w:r w:rsidR="004070D5">
        <w:rPr>
          <w:rFonts w:asciiTheme="minorHAnsi" w:hAnsiTheme="minorHAnsi"/>
        </w:rPr>
        <w:t xml:space="preserve"> if we report them</w:t>
      </w:r>
      <w:r w:rsidR="00981ABE">
        <w:rPr>
          <w:rFonts w:asciiTheme="minorHAnsi" w:hAnsiTheme="minorHAnsi"/>
        </w:rPr>
        <w:t xml:space="preserve"> treatment by treatment.</w:t>
      </w:r>
    </w:p>
    <w:p w:rsidR="00837E40" w:rsidRPr="003C3E1C" w:rsidRDefault="00F8261B" w:rsidP="00F16B7F">
      <w:pPr>
        <w:spacing w:line="360" w:lineRule="auto"/>
        <w:jc w:val="both"/>
        <w:rPr>
          <w:rFonts w:asciiTheme="minorHAnsi" w:hAnsiTheme="minorHAnsi"/>
        </w:rPr>
      </w:pPr>
      <w:r w:rsidRPr="003C3E1C">
        <w:rPr>
          <w:rFonts w:asciiTheme="minorHAnsi" w:hAnsiTheme="minorHAnsi"/>
        </w:rPr>
        <w:t>The data can be</w:t>
      </w:r>
      <w:r w:rsidR="00837E40" w:rsidRPr="003C3E1C">
        <w:rPr>
          <w:rFonts w:asciiTheme="minorHAnsi" w:hAnsiTheme="minorHAnsi"/>
        </w:rPr>
        <w:t xml:space="preserve"> used to fit each preference functional by maximum likelihood, hence obtaining estimates of the parameters of each model, of the risk-aversion parameter, </w:t>
      </w:r>
      <w:r w:rsidR="00837E40" w:rsidRPr="003C3E1C">
        <w:rPr>
          <w:rFonts w:asciiTheme="minorHAnsi" w:hAnsiTheme="minorHAnsi"/>
          <w:i/>
        </w:rPr>
        <w:t>r</w:t>
      </w:r>
      <w:r w:rsidR="00837E40" w:rsidRPr="003C3E1C">
        <w:rPr>
          <w:rFonts w:asciiTheme="minorHAnsi" w:hAnsiTheme="minorHAnsi"/>
        </w:rPr>
        <w:t xml:space="preserve">, and of the precision </w:t>
      </w:r>
      <w:proofErr w:type="gramStart"/>
      <w:r w:rsidR="00837E40" w:rsidRPr="003C3E1C">
        <w:rPr>
          <w:rFonts w:asciiTheme="minorHAnsi" w:hAnsiTheme="minorHAnsi"/>
        </w:rPr>
        <w:t>parameter</w:t>
      </w:r>
      <w:proofErr w:type="gramEnd"/>
      <w:r w:rsidR="00837E40" w:rsidRPr="003C3E1C">
        <w:rPr>
          <w:rFonts w:asciiTheme="minorHAnsi" w:hAnsiTheme="minorHAnsi"/>
        </w:rPr>
        <w:t xml:space="preserve">, </w:t>
      </w:r>
      <w:r w:rsidR="00837E40" w:rsidRPr="003C3E1C">
        <w:rPr>
          <w:rFonts w:asciiTheme="minorHAnsi" w:hAnsiTheme="minorHAnsi"/>
          <w:i/>
        </w:rPr>
        <w:t>s</w:t>
      </w:r>
      <w:r w:rsidR="00F16B7F">
        <w:rPr>
          <w:rFonts w:asciiTheme="minorHAnsi" w:hAnsiTheme="minorHAnsi"/>
        </w:rPr>
        <w:t>, for each subject</w:t>
      </w:r>
      <w:r w:rsidR="0052504B">
        <w:rPr>
          <w:rFonts w:asciiTheme="minorHAnsi" w:hAnsiTheme="minorHAnsi"/>
        </w:rPr>
        <w:t>. In Hey and Pace (2014</w:t>
      </w:r>
      <w:r w:rsidR="00837E40" w:rsidRPr="003C3E1C">
        <w:rPr>
          <w:rFonts w:asciiTheme="minorHAnsi" w:hAnsiTheme="minorHAnsi"/>
        </w:rPr>
        <w:t xml:space="preserve">) we estimated these parameters using the decisions on a subset of 60 of the questions, and used the resulting estimates to predict behaviour on the remaining 16 questions. Here we do something different, as our objective in </w:t>
      </w:r>
      <w:r w:rsidRPr="003C3E1C">
        <w:rPr>
          <w:rFonts w:asciiTheme="minorHAnsi" w:hAnsiTheme="minorHAnsi"/>
        </w:rPr>
        <w:t>this present</w:t>
      </w:r>
      <w:r w:rsidR="004F6145" w:rsidRPr="003C3E1C">
        <w:rPr>
          <w:rFonts w:asciiTheme="minorHAnsi" w:hAnsiTheme="minorHAnsi"/>
        </w:rPr>
        <w:t xml:space="preserve"> paper is different</w:t>
      </w:r>
      <w:r w:rsidR="008C65B7">
        <w:rPr>
          <w:rFonts w:asciiTheme="minorHAnsi" w:hAnsiTheme="minorHAnsi"/>
        </w:rPr>
        <w:t>.</w:t>
      </w:r>
    </w:p>
    <w:p w:rsidR="00837E40" w:rsidRPr="003C3E1C" w:rsidRDefault="00837E40" w:rsidP="0035033F">
      <w:pPr>
        <w:spacing w:line="360" w:lineRule="auto"/>
        <w:jc w:val="both"/>
        <w:rPr>
          <w:rFonts w:asciiTheme="minorHAnsi" w:hAnsiTheme="minorHAnsi"/>
        </w:rPr>
      </w:pPr>
    </w:p>
    <w:p w:rsidR="00837E40" w:rsidRPr="003C3E1C" w:rsidRDefault="00837E40" w:rsidP="001F2FFC">
      <w:pPr>
        <w:pStyle w:val="ListParagraph"/>
        <w:numPr>
          <w:ilvl w:val="0"/>
          <w:numId w:val="1"/>
        </w:numPr>
        <w:spacing w:line="360" w:lineRule="auto"/>
        <w:jc w:val="both"/>
        <w:rPr>
          <w:rFonts w:asciiTheme="minorHAnsi" w:hAnsiTheme="minorHAnsi"/>
          <w:b/>
        </w:rPr>
      </w:pPr>
      <w:r w:rsidRPr="003C3E1C">
        <w:rPr>
          <w:rFonts w:asciiTheme="minorHAnsi" w:hAnsiTheme="minorHAnsi"/>
          <w:b/>
        </w:rPr>
        <w:t>The Data Analysis</w:t>
      </w:r>
    </w:p>
    <w:p w:rsidR="00837E40" w:rsidRDefault="003317FE" w:rsidP="00F16B7F">
      <w:pPr>
        <w:spacing w:line="360" w:lineRule="auto"/>
        <w:jc w:val="both"/>
        <w:rPr>
          <w:rFonts w:asciiTheme="minorHAnsi" w:hAnsiTheme="minorHAnsi"/>
        </w:rPr>
      </w:pPr>
      <w:r w:rsidRPr="003C3E1C">
        <w:rPr>
          <w:rFonts w:asciiTheme="minorHAnsi" w:hAnsiTheme="minorHAnsi"/>
        </w:rPr>
        <w:t>W</w:t>
      </w:r>
      <w:r w:rsidR="00837E40" w:rsidRPr="003C3E1C">
        <w:rPr>
          <w:rFonts w:asciiTheme="minorHAnsi" w:hAnsiTheme="minorHAnsi"/>
        </w:rPr>
        <w:t>e split</w:t>
      </w:r>
      <w:r w:rsidRPr="003C3E1C">
        <w:rPr>
          <w:rFonts w:asciiTheme="minorHAnsi" w:hAnsiTheme="minorHAnsi"/>
        </w:rPr>
        <w:t>,</w:t>
      </w:r>
      <w:r w:rsidR="00837E40" w:rsidRPr="003C3E1C">
        <w:rPr>
          <w:rFonts w:asciiTheme="minorHAnsi" w:hAnsiTheme="minorHAnsi"/>
        </w:rPr>
        <w:t xml:space="preserve"> for each subject</w:t>
      </w:r>
      <w:r w:rsidRPr="003C3E1C">
        <w:rPr>
          <w:rFonts w:asciiTheme="minorHAnsi" w:hAnsiTheme="minorHAnsi"/>
        </w:rPr>
        <w:t>,</w:t>
      </w:r>
      <w:r w:rsidR="00837E40" w:rsidRPr="003C3E1C">
        <w:rPr>
          <w:rFonts w:asciiTheme="minorHAnsi" w:hAnsiTheme="minorHAnsi"/>
        </w:rPr>
        <w:t xml:space="preserve"> the data into two </w:t>
      </w:r>
      <w:r w:rsidR="00D61F63">
        <w:rPr>
          <w:rFonts w:asciiTheme="minorHAnsi" w:hAnsiTheme="minorHAnsi"/>
        </w:rPr>
        <w:t>halves</w:t>
      </w:r>
      <w:r w:rsidR="00837E40" w:rsidRPr="003C3E1C">
        <w:rPr>
          <w:rFonts w:asciiTheme="minorHAnsi" w:hAnsiTheme="minorHAnsi"/>
        </w:rPr>
        <w:t xml:space="preserve">: </w:t>
      </w:r>
      <w:r w:rsidR="00D61F63">
        <w:rPr>
          <w:rFonts w:asciiTheme="minorHAnsi" w:hAnsiTheme="minorHAnsi"/>
        </w:rPr>
        <w:t>the first half</w:t>
      </w:r>
      <w:r w:rsidR="00837E40" w:rsidRPr="003C3E1C">
        <w:rPr>
          <w:rFonts w:asciiTheme="minorHAnsi" w:hAnsiTheme="minorHAnsi"/>
        </w:rPr>
        <w:t xml:space="preserve"> consisting of the first 38 allocation problems that the subject tackled; </w:t>
      </w:r>
      <w:r w:rsidR="00D61F63">
        <w:rPr>
          <w:rFonts w:asciiTheme="minorHAnsi" w:hAnsiTheme="minorHAnsi"/>
        </w:rPr>
        <w:t>the second half</w:t>
      </w:r>
      <w:r w:rsidR="00837E40" w:rsidRPr="003C3E1C">
        <w:rPr>
          <w:rFonts w:asciiTheme="minorHAnsi" w:hAnsiTheme="minorHAnsi"/>
        </w:rPr>
        <w:t xml:space="preserve"> consisting of the l</w:t>
      </w:r>
      <w:r w:rsidR="00372604">
        <w:rPr>
          <w:rFonts w:asciiTheme="minorHAnsi" w:hAnsiTheme="minorHAnsi"/>
        </w:rPr>
        <w:t>ast 38 questions.</w:t>
      </w:r>
      <w:r w:rsidR="00EE0ED1">
        <w:rPr>
          <w:rFonts w:asciiTheme="minorHAnsi" w:hAnsiTheme="minorHAnsi"/>
        </w:rPr>
        <w:t xml:space="preserve"> </w:t>
      </w:r>
      <w:r w:rsidR="00F8261B" w:rsidRPr="003C3E1C">
        <w:rPr>
          <w:rFonts w:asciiTheme="minorHAnsi" w:hAnsiTheme="minorHAnsi"/>
        </w:rPr>
        <w:t>W</w:t>
      </w:r>
      <w:r w:rsidR="00837E40" w:rsidRPr="003C3E1C">
        <w:rPr>
          <w:rFonts w:asciiTheme="minorHAnsi" w:hAnsiTheme="minorHAnsi"/>
        </w:rPr>
        <w:t xml:space="preserve">e </w:t>
      </w:r>
      <w:r w:rsidR="00F8261B" w:rsidRPr="003C3E1C">
        <w:rPr>
          <w:rFonts w:asciiTheme="minorHAnsi" w:hAnsiTheme="minorHAnsi"/>
        </w:rPr>
        <w:t xml:space="preserve">then, for each subject, </w:t>
      </w:r>
      <w:r w:rsidR="003B5CFC" w:rsidRPr="003C3E1C">
        <w:rPr>
          <w:rFonts w:asciiTheme="minorHAnsi" w:hAnsiTheme="minorHAnsi"/>
        </w:rPr>
        <w:t>fit</w:t>
      </w:r>
      <w:r w:rsidR="008C65B7">
        <w:rPr>
          <w:rFonts w:asciiTheme="minorHAnsi" w:hAnsiTheme="minorHAnsi"/>
        </w:rPr>
        <w:t xml:space="preserve"> the 3</w:t>
      </w:r>
      <w:r w:rsidR="00837E40" w:rsidRPr="003C3E1C">
        <w:rPr>
          <w:rFonts w:asciiTheme="minorHAnsi" w:hAnsiTheme="minorHAnsi"/>
        </w:rPr>
        <w:t xml:space="preserve"> preference functionals</w:t>
      </w:r>
      <w:r w:rsidR="003B5CFC" w:rsidRPr="003C3E1C">
        <w:rPr>
          <w:rFonts w:asciiTheme="minorHAnsi" w:hAnsiTheme="minorHAnsi"/>
        </w:rPr>
        <w:t xml:space="preserve"> separately, and hence obtain</w:t>
      </w:r>
      <w:r w:rsidR="00837E40" w:rsidRPr="003C3E1C">
        <w:rPr>
          <w:rFonts w:asciiTheme="minorHAnsi" w:hAnsiTheme="minorHAnsi"/>
        </w:rPr>
        <w:t xml:space="preserve"> estimates of the various parameters – and the maximised log-likelihood – for each </w:t>
      </w:r>
      <w:r w:rsidR="00D61F63">
        <w:rPr>
          <w:rFonts w:asciiTheme="minorHAnsi" w:hAnsiTheme="minorHAnsi"/>
        </w:rPr>
        <w:t>half</w:t>
      </w:r>
      <w:r w:rsidR="00837E40" w:rsidRPr="003C3E1C">
        <w:rPr>
          <w:rFonts w:asciiTheme="minorHAnsi" w:hAnsiTheme="minorHAnsi"/>
        </w:rPr>
        <w:t xml:space="preserve"> of</w:t>
      </w:r>
      <w:r w:rsidR="00D61F63">
        <w:rPr>
          <w:rFonts w:asciiTheme="minorHAnsi" w:hAnsiTheme="minorHAnsi"/>
        </w:rPr>
        <w:t xml:space="preserve"> the</w:t>
      </w:r>
      <w:r w:rsidR="00837E40" w:rsidRPr="003C3E1C">
        <w:rPr>
          <w:rFonts w:asciiTheme="minorHAnsi" w:hAnsiTheme="minorHAnsi"/>
        </w:rPr>
        <w:t xml:space="preserve"> questions. This enable</w:t>
      </w:r>
      <w:r w:rsidR="00F8261B" w:rsidRPr="003C3E1C">
        <w:rPr>
          <w:rFonts w:asciiTheme="minorHAnsi" w:hAnsiTheme="minorHAnsi"/>
        </w:rPr>
        <w:t xml:space="preserve">s us to check as to whether </w:t>
      </w:r>
      <w:r w:rsidR="00837E40" w:rsidRPr="003C3E1C">
        <w:rPr>
          <w:rFonts w:asciiTheme="minorHAnsi" w:hAnsiTheme="minorHAnsi"/>
        </w:rPr>
        <w:t>the</w:t>
      </w:r>
      <w:r w:rsidR="005B4DFD">
        <w:rPr>
          <w:rFonts w:asciiTheme="minorHAnsi" w:hAnsiTheme="minorHAnsi"/>
        </w:rPr>
        <w:t xml:space="preserve"> best-fitting preference functional and the</w:t>
      </w:r>
      <w:r w:rsidR="00837E40" w:rsidRPr="003C3E1C">
        <w:rPr>
          <w:rFonts w:asciiTheme="minorHAnsi" w:hAnsiTheme="minorHAnsi"/>
        </w:rPr>
        <w:t xml:space="preserve"> estimated parameters</w:t>
      </w:r>
      <w:r w:rsidR="00F8261B" w:rsidRPr="003C3E1C">
        <w:rPr>
          <w:rFonts w:asciiTheme="minorHAnsi" w:hAnsiTheme="minorHAnsi"/>
        </w:rPr>
        <w:t xml:space="preserve"> of any given preference functional</w:t>
      </w:r>
      <w:r w:rsidR="00837E40" w:rsidRPr="003C3E1C">
        <w:rPr>
          <w:rFonts w:asciiTheme="minorHAnsi" w:hAnsiTheme="minorHAnsi"/>
        </w:rPr>
        <w:t xml:space="preserve"> differ in the two </w:t>
      </w:r>
      <w:r w:rsidR="00D61F63">
        <w:rPr>
          <w:rFonts w:asciiTheme="minorHAnsi" w:hAnsiTheme="minorHAnsi"/>
        </w:rPr>
        <w:t>halves</w:t>
      </w:r>
      <w:r w:rsidR="00837E40" w:rsidRPr="003C3E1C">
        <w:rPr>
          <w:rFonts w:asciiTheme="minorHAnsi" w:hAnsiTheme="minorHAnsi"/>
        </w:rPr>
        <w:t>, therefore</w:t>
      </w:r>
      <w:r w:rsidR="00FC3375">
        <w:rPr>
          <w:rFonts w:asciiTheme="minorHAnsi" w:hAnsiTheme="minorHAnsi"/>
        </w:rPr>
        <w:t xml:space="preserve"> enabling us to test the </w:t>
      </w:r>
      <w:r w:rsidR="00837E40" w:rsidRPr="003C3E1C">
        <w:rPr>
          <w:rFonts w:asciiTheme="minorHAnsi" w:hAnsiTheme="minorHAnsi"/>
        </w:rPr>
        <w:t>assertions in the Introduction</w:t>
      </w:r>
      <w:r w:rsidR="00F16B7F">
        <w:rPr>
          <w:rFonts w:asciiTheme="minorHAnsi" w:hAnsiTheme="minorHAnsi"/>
        </w:rPr>
        <w:t>, both at an individual level and at the aggregate level</w:t>
      </w:r>
      <w:r w:rsidR="00837E40" w:rsidRPr="003C3E1C">
        <w:rPr>
          <w:rFonts w:asciiTheme="minorHAnsi" w:hAnsiTheme="minorHAnsi"/>
        </w:rPr>
        <w:t>.</w:t>
      </w:r>
    </w:p>
    <w:p w:rsidR="00D23013" w:rsidRDefault="00001B8D" w:rsidP="00F16B7F">
      <w:pPr>
        <w:spacing w:line="360" w:lineRule="auto"/>
        <w:jc w:val="both"/>
        <w:rPr>
          <w:rFonts w:asciiTheme="minorHAnsi" w:hAnsiTheme="minorHAnsi"/>
        </w:rPr>
      </w:pPr>
      <w:r>
        <w:rPr>
          <w:rFonts w:asciiTheme="minorHAnsi" w:hAnsiTheme="minorHAnsi"/>
        </w:rPr>
        <w:t xml:space="preserve">Let us start at the individual level. We first ask whether </w:t>
      </w:r>
      <w:r w:rsidR="006E1A2C">
        <w:rPr>
          <w:rFonts w:asciiTheme="minorHAnsi" w:hAnsiTheme="minorHAnsi"/>
        </w:rPr>
        <w:t xml:space="preserve">the best-fitting preference functional for individual subjects changes from the first half to the second. </w:t>
      </w:r>
      <w:r w:rsidR="00D23013">
        <w:rPr>
          <w:rFonts w:asciiTheme="minorHAnsi" w:hAnsiTheme="minorHAnsi"/>
        </w:rPr>
        <w:t>We rank the preference functionals by the value of the fitted Bayesian Information Criterion (BIC)</w:t>
      </w:r>
      <w:r w:rsidR="00D23013">
        <w:rPr>
          <w:rStyle w:val="FootnoteReference"/>
          <w:rFonts w:asciiTheme="minorHAnsi" w:hAnsiTheme="minorHAnsi"/>
        </w:rPr>
        <w:footnoteReference w:id="6"/>
      </w:r>
      <w:r w:rsidR="00D23013">
        <w:rPr>
          <w:rFonts w:asciiTheme="minorHAnsi" w:hAnsiTheme="minorHAnsi"/>
        </w:rPr>
        <w:t xml:space="preserve">. </w:t>
      </w:r>
      <w:r w:rsidR="006E1A2C">
        <w:rPr>
          <w:rFonts w:asciiTheme="minorHAnsi" w:hAnsiTheme="minorHAnsi"/>
        </w:rPr>
        <w:t xml:space="preserve">The table below shows the results in the </w:t>
      </w:r>
      <w:r w:rsidR="006E1A2C">
        <w:rPr>
          <w:rFonts w:asciiTheme="minorHAnsi" w:hAnsiTheme="minorHAnsi"/>
        </w:rPr>
        <w:lastRenderedPageBreak/>
        <w:t>form of a transition matrix.</w:t>
      </w:r>
      <w:r w:rsidR="00CD44F4">
        <w:rPr>
          <w:rFonts w:asciiTheme="minorHAnsi" w:hAnsiTheme="minorHAnsi"/>
        </w:rPr>
        <w:t xml:space="preserve"> The entries are the proportion of subjects who are ranked</w:t>
      </w:r>
      <w:r w:rsidR="007653F1">
        <w:rPr>
          <w:rFonts w:asciiTheme="minorHAnsi" w:hAnsiTheme="minorHAnsi"/>
        </w:rPr>
        <w:t xml:space="preserve"> first in the first half on a preference function that are ranked first in the second half on a preference functional. If the rankings remain constant across the two halves, there should be </w:t>
      </w:r>
      <w:r w:rsidR="00693B3D">
        <w:rPr>
          <w:rFonts w:asciiTheme="minorHAnsi" w:hAnsiTheme="minorHAnsi"/>
        </w:rPr>
        <w:t>‘1</w:t>
      </w:r>
      <w:r w:rsidR="007653F1">
        <w:rPr>
          <w:rFonts w:asciiTheme="minorHAnsi" w:hAnsiTheme="minorHAnsi"/>
        </w:rPr>
        <w:t xml:space="preserve">’s down the main diagonal and </w:t>
      </w:r>
      <w:r w:rsidR="00693B3D">
        <w:rPr>
          <w:rFonts w:asciiTheme="minorHAnsi" w:hAnsiTheme="minorHAnsi"/>
        </w:rPr>
        <w:t>‘0</w:t>
      </w:r>
      <w:r w:rsidR="007653F1">
        <w:rPr>
          <w:rFonts w:asciiTheme="minorHAnsi" w:hAnsiTheme="minorHAnsi"/>
        </w:rPr>
        <w:t>’s elsewhere.</w:t>
      </w:r>
      <w:r w:rsidR="00693B3D">
        <w:rPr>
          <w:rFonts w:asciiTheme="minorHAnsi" w:hAnsiTheme="minorHAnsi"/>
        </w:rPr>
        <w:t xml:space="preserve"> That is not the case.</w:t>
      </w:r>
    </w:p>
    <w:p w:rsidR="007653F1" w:rsidRDefault="007653F1" w:rsidP="00F16B7F">
      <w:pPr>
        <w:spacing w:line="360" w:lineRule="auto"/>
        <w:jc w:val="both"/>
        <w:rPr>
          <w:rFonts w:asciiTheme="minorHAnsi" w:hAnsiTheme="minorHAnsi"/>
        </w:rPr>
      </w:pPr>
    </w:p>
    <w:tbl>
      <w:tblPr>
        <w:tblW w:w="6536" w:type="dxa"/>
        <w:tblInd w:w="55" w:type="dxa"/>
        <w:tblCellMar>
          <w:left w:w="70" w:type="dxa"/>
          <w:right w:w="70" w:type="dxa"/>
        </w:tblCellMar>
        <w:tblLook w:val="04A0" w:firstRow="1" w:lastRow="0" w:firstColumn="1" w:lastColumn="0" w:noHBand="0" w:noVBand="1"/>
      </w:tblPr>
      <w:tblGrid>
        <w:gridCol w:w="3100"/>
        <w:gridCol w:w="1000"/>
        <w:gridCol w:w="1060"/>
        <w:gridCol w:w="1376"/>
      </w:tblGrid>
      <w:tr w:rsidR="006E1A2C" w:rsidRPr="006E1A2C" w:rsidTr="006E1A2C">
        <w:trPr>
          <w:trHeight w:val="300"/>
        </w:trPr>
        <w:tc>
          <w:tcPr>
            <w:tcW w:w="3100" w:type="dxa"/>
            <w:tcBorders>
              <w:top w:val="single" w:sz="4" w:space="0" w:color="auto"/>
              <w:left w:val="single" w:sz="4" w:space="0" w:color="auto"/>
              <w:bottom w:val="nil"/>
              <w:right w:val="nil"/>
            </w:tcBorders>
            <w:shd w:val="clear" w:color="auto" w:fill="auto"/>
            <w:noWrap/>
            <w:vAlign w:val="bottom"/>
            <w:hideMark/>
          </w:tcPr>
          <w:p w:rsidR="006E1A2C" w:rsidRPr="006E1A2C" w:rsidRDefault="006E1A2C" w:rsidP="00D25B17">
            <w:pPr>
              <w:rPr>
                <w:rFonts w:asciiTheme="minorHAnsi" w:eastAsia="Times New Roman" w:hAnsiTheme="minorHAnsi"/>
                <w:color w:val="000000"/>
                <w:lang w:eastAsia="it-IT"/>
              </w:rPr>
            </w:pPr>
            <w:r w:rsidRPr="006E1A2C">
              <w:rPr>
                <w:rFonts w:asciiTheme="minorHAnsi" w:eastAsia="Times New Roman" w:hAnsiTheme="minorHAnsi"/>
                <w:color w:val="000000"/>
                <w:lang w:eastAsia="it-IT"/>
              </w:rPr>
              <w:t> </w:t>
            </w:r>
            <w:r w:rsidR="00D23013">
              <w:rPr>
                <w:rFonts w:asciiTheme="minorHAnsi" w:eastAsia="Times New Roman" w:hAnsiTheme="minorHAnsi"/>
                <w:color w:val="000000"/>
                <w:lang w:eastAsia="it-IT"/>
              </w:rPr>
              <w:t>Rankings by BIC</w:t>
            </w:r>
          </w:p>
        </w:tc>
        <w:tc>
          <w:tcPr>
            <w:tcW w:w="343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E1A2C" w:rsidRPr="00EE5DC0" w:rsidRDefault="006E1A2C" w:rsidP="00D25B17">
            <w:pPr>
              <w:rPr>
                <w:rFonts w:asciiTheme="minorHAnsi" w:eastAsia="Times New Roman" w:hAnsiTheme="minorHAnsi" w:cs="Arial"/>
                <w:bCs/>
                <w:lang w:val="en-US" w:eastAsia="it-IT"/>
              </w:rPr>
            </w:pPr>
            <w:r w:rsidRPr="00EE5DC0">
              <w:rPr>
                <w:rFonts w:asciiTheme="minorHAnsi" w:eastAsia="Times New Roman" w:hAnsiTheme="minorHAnsi" w:cs="Arial"/>
                <w:bCs/>
                <w:lang w:val="en-US" w:eastAsia="it-IT"/>
              </w:rPr>
              <w:t>Model at 1st ranking in second half</w:t>
            </w:r>
          </w:p>
        </w:tc>
      </w:tr>
      <w:tr w:rsidR="006E1A2C" w:rsidRPr="006E1A2C" w:rsidTr="006E1A2C">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A2C" w:rsidRPr="00EE5DC0" w:rsidRDefault="006E1A2C" w:rsidP="00D25B17">
            <w:pPr>
              <w:rPr>
                <w:rFonts w:asciiTheme="minorHAnsi" w:eastAsia="Times New Roman" w:hAnsiTheme="minorHAnsi" w:cs="Arial"/>
                <w:bCs/>
                <w:lang w:val="en-US" w:eastAsia="it-IT"/>
              </w:rPr>
            </w:pPr>
            <w:r w:rsidRPr="00EE5DC0">
              <w:rPr>
                <w:rFonts w:asciiTheme="minorHAnsi" w:eastAsia="Times New Roman" w:hAnsiTheme="minorHAnsi" w:cs="Arial"/>
                <w:bCs/>
                <w:lang w:val="en-US" w:eastAsia="it-IT"/>
              </w:rPr>
              <w:t>Model at 1st ranking in first half</w:t>
            </w:r>
          </w:p>
        </w:tc>
        <w:tc>
          <w:tcPr>
            <w:tcW w:w="1000" w:type="dxa"/>
            <w:tcBorders>
              <w:top w:val="nil"/>
              <w:left w:val="nil"/>
              <w:bottom w:val="single" w:sz="4" w:space="0" w:color="auto"/>
              <w:right w:val="single" w:sz="4" w:space="0" w:color="auto"/>
            </w:tcBorders>
            <w:shd w:val="clear" w:color="auto" w:fill="auto"/>
            <w:noWrap/>
            <w:vAlign w:val="bottom"/>
            <w:hideMark/>
          </w:tcPr>
          <w:p w:rsidR="006E1A2C" w:rsidRPr="00EE5DC0" w:rsidRDefault="006E1A2C" w:rsidP="00D25B17">
            <w:pPr>
              <w:jc w:val="center"/>
              <w:rPr>
                <w:rFonts w:asciiTheme="minorHAnsi" w:eastAsia="Times New Roman" w:hAnsiTheme="minorHAnsi"/>
                <w:bCs/>
                <w:color w:val="000000"/>
                <w:lang w:eastAsia="it-IT"/>
              </w:rPr>
            </w:pPr>
            <w:r w:rsidRPr="00EE5DC0">
              <w:rPr>
                <w:rFonts w:asciiTheme="minorHAnsi" w:eastAsia="Times New Roman" w:hAnsiTheme="minorHAnsi"/>
                <w:bCs/>
                <w:color w:val="000000"/>
                <w:lang w:eastAsia="it-IT"/>
              </w:rPr>
              <w:t>SEU</w:t>
            </w:r>
          </w:p>
        </w:tc>
        <w:tc>
          <w:tcPr>
            <w:tcW w:w="1060" w:type="dxa"/>
            <w:tcBorders>
              <w:top w:val="nil"/>
              <w:left w:val="nil"/>
              <w:bottom w:val="single" w:sz="4" w:space="0" w:color="auto"/>
              <w:right w:val="nil"/>
            </w:tcBorders>
            <w:shd w:val="clear" w:color="auto" w:fill="auto"/>
            <w:noWrap/>
            <w:vAlign w:val="bottom"/>
            <w:hideMark/>
          </w:tcPr>
          <w:p w:rsidR="006E1A2C" w:rsidRPr="00EE5DC0" w:rsidRDefault="006E1A2C" w:rsidP="00D25B17">
            <w:pPr>
              <w:jc w:val="center"/>
              <w:rPr>
                <w:rFonts w:asciiTheme="minorHAnsi" w:eastAsia="Times New Roman" w:hAnsiTheme="minorHAnsi"/>
                <w:bCs/>
                <w:color w:val="000000"/>
                <w:lang w:eastAsia="it-IT"/>
              </w:rPr>
            </w:pPr>
            <w:r w:rsidRPr="00EE5DC0">
              <w:rPr>
                <w:rFonts w:asciiTheme="minorHAnsi" w:eastAsia="Times New Roman" w:hAnsiTheme="minorHAnsi"/>
                <w:bCs/>
                <w:color w:val="000000"/>
                <w:lang w:eastAsia="it-IT"/>
              </w:rPr>
              <w:t>AEU</w:t>
            </w:r>
          </w:p>
        </w:tc>
        <w:tc>
          <w:tcPr>
            <w:tcW w:w="1376" w:type="dxa"/>
            <w:tcBorders>
              <w:top w:val="nil"/>
              <w:left w:val="single" w:sz="4" w:space="0" w:color="auto"/>
              <w:bottom w:val="single" w:sz="4" w:space="0" w:color="auto"/>
              <w:right w:val="single" w:sz="4" w:space="0" w:color="auto"/>
            </w:tcBorders>
            <w:shd w:val="clear" w:color="auto" w:fill="auto"/>
            <w:noWrap/>
            <w:vAlign w:val="bottom"/>
            <w:hideMark/>
          </w:tcPr>
          <w:p w:rsidR="006E1A2C" w:rsidRPr="00EE5DC0" w:rsidRDefault="006E1A2C" w:rsidP="00D25B17">
            <w:pPr>
              <w:jc w:val="center"/>
              <w:rPr>
                <w:rFonts w:asciiTheme="minorHAnsi" w:eastAsia="Times New Roman" w:hAnsiTheme="minorHAnsi"/>
                <w:bCs/>
                <w:color w:val="000000"/>
                <w:lang w:eastAsia="it-IT"/>
              </w:rPr>
            </w:pPr>
            <w:r w:rsidRPr="00EE5DC0">
              <w:rPr>
                <w:rFonts w:asciiTheme="minorHAnsi" w:eastAsia="Times New Roman" w:hAnsiTheme="minorHAnsi"/>
                <w:bCs/>
                <w:color w:val="000000"/>
                <w:lang w:eastAsia="it-IT"/>
              </w:rPr>
              <w:t>VEU</w:t>
            </w:r>
          </w:p>
        </w:tc>
      </w:tr>
      <w:tr w:rsidR="006E1A2C" w:rsidRPr="006E1A2C" w:rsidTr="006E1A2C">
        <w:trPr>
          <w:trHeight w:val="300"/>
        </w:trPr>
        <w:tc>
          <w:tcPr>
            <w:tcW w:w="3100" w:type="dxa"/>
            <w:tcBorders>
              <w:top w:val="nil"/>
              <w:left w:val="single" w:sz="4" w:space="0" w:color="auto"/>
              <w:bottom w:val="nil"/>
              <w:right w:val="nil"/>
            </w:tcBorders>
            <w:shd w:val="clear" w:color="auto" w:fill="auto"/>
            <w:noWrap/>
            <w:vAlign w:val="bottom"/>
            <w:hideMark/>
          </w:tcPr>
          <w:p w:rsidR="006E1A2C" w:rsidRPr="00EE5DC0" w:rsidRDefault="006E1A2C" w:rsidP="00D25B17">
            <w:pPr>
              <w:jc w:val="right"/>
              <w:rPr>
                <w:rFonts w:asciiTheme="minorHAnsi" w:eastAsia="Times New Roman" w:hAnsiTheme="minorHAnsi" w:cs="Arial"/>
                <w:bCs/>
                <w:lang w:eastAsia="it-IT"/>
              </w:rPr>
            </w:pPr>
            <w:r w:rsidRPr="00EE5DC0">
              <w:rPr>
                <w:rFonts w:asciiTheme="minorHAnsi" w:eastAsia="Times New Roman" w:hAnsiTheme="minorHAnsi" w:cs="Arial"/>
                <w:bCs/>
                <w:lang w:eastAsia="it-IT"/>
              </w:rPr>
              <w:t>SEU (60)</w:t>
            </w:r>
          </w:p>
        </w:tc>
        <w:tc>
          <w:tcPr>
            <w:tcW w:w="1000" w:type="dxa"/>
            <w:tcBorders>
              <w:top w:val="nil"/>
              <w:left w:val="single" w:sz="4" w:space="0" w:color="auto"/>
              <w:bottom w:val="nil"/>
              <w:right w:val="single" w:sz="4" w:space="0" w:color="auto"/>
            </w:tcBorders>
            <w:shd w:val="clear" w:color="auto" w:fill="auto"/>
            <w:noWrap/>
            <w:vAlign w:val="bottom"/>
            <w:hideMark/>
          </w:tcPr>
          <w:p w:rsidR="006E1A2C" w:rsidRPr="006E1A2C" w:rsidRDefault="006E1A2C" w:rsidP="00D25B17">
            <w:pPr>
              <w:jc w:val="center"/>
              <w:rPr>
                <w:rFonts w:asciiTheme="minorHAnsi" w:eastAsia="Times New Roman" w:hAnsiTheme="minorHAnsi" w:cs="Arial"/>
                <w:lang w:eastAsia="it-IT"/>
              </w:rPr>
            </w:pPr>
            <w:r w:rsidRPr="006E1A2C">
              <w:rPr>
                <w:rFonts w:asciiTheme="minorHAnsi" w:eastAsia="Times New Roman" w:hAnsiTheme="minorHAnsi" w:cs="Arial"/>
                <w:lang w:eastAsia="it-IT"/>
              </w:rPr>
              <w:t>0.52</w:t>
            </w:r>
          </w:p>
        </w:tc>
        <w:tc>
          <w:tcPr>
            <w:tcW w:w="1060" w:type="dxa"/>
            <w:tcBorders>
              <w:top w:val="nil"/>
              <w:left w:val="nil"/>
              <w:bottom w:val="nil"/>
              <w:right w:val="nil"/>
            </w:tcBorders>
            <w:shd w:val="clear" w:color="auto" w:fill="auto"/>
            <w:noWrap/>
            <w:vAlign w:val="bottom"/>
            <w:hideMark/>
          </w:tcPr>
          <w:p w:rsidR="006E1A2C" w:rsidRPr="006E1A2C" w:rsidRDefault="006E1A2C" w:rsidP="00D25B17">
            <w:pPr>
              <w:jc w:val="center"/>
              <w:rPr>
                <w:rFonts w:asciiTheme="minorHAnsi" w:eastAsia="Times New Roman" w:hAnsiTheme="minorHAnsi" w:cs="Arial"/>
                <w:lang w:eastAsia="it-IT"/>
              </w:rPr>
            </w:pPr>
            <w:r w:rsidRPr="006E1A2C">
              <w:rPr>
                <w:rFonts w:asciiTheme="minorHAnsi" w:eastAsia="Times New Roman" w:hAnsiTheme="minorHAnsi" w:cs="Arial"/>
                <w:lang w:eastAsia="it-IT"/>
              </w:rPr>
              <w:t>0.12</w:t>
            </w:r>
          </w:p>
        </w:tc>
        <w:tc>
          <w:tcPr>
            <w:tcW w:w="1376" w:type="dxa"/>
            <w:tcBorders>
              <w:top w:val="nil"/>
              <w:left w:val="single" w:sz="4" w:space="0" w:color="auto"/>
              <w:bottom w:val="nil"/>
              <w:right w:val="single" w:sz="4" w:space="0" w:color="auto"/>
            </w:tcBorders>
            <w:shd w:val="clear" w:color="auto" w:fill="auto"/>
            <w:noWrap/>
            <w:vAlign w:val="bottom"/>
            <w:hideMark/>
          </w:tcPr>
          <w:p w:rsidR="006E1A2C" w:rsidRPr="006E1A2C" w:rsidRDefault="006E1A2C" w:rsidP="00D25B17">
            <w:pPr>
              <w:jc w:val="center"/>
              <w:rPr>
                <w:rFonts w:asciiTheme="minorHAnsi" w:eastAsia="Times New Roman" w:hAnsiTheme="minorHAnsi" w:cs="Arial"/>
                <w:lang w:eastAsia="it-IT"/>
              </w:rPr>
            </w:pPr>
            <w:r w:rsidRPr="006E1A2C">
              <w:rPr>
                <w:rFonts w:asciiTheme="minorHAnsi" w:eastAsia="Times New Roman" w:hAnsiTheme="minorHAnsi" w:cs="Arial"/>
                <w:lang w:eastAsia="it-IT"/>
              </w:rPr>
              <w:t>0.37</w:t>
            </w:r>
          </w:p>
        </w:tc>
      </w:tr>
      <w:tr w:rsidR="006E1A2C" w:rsidRPr="006E1A2C" w:rsidTr="006E1A2C">
        <w:trPr>
          <w:trHeight w:val="300"/>
        </w:trPr>
        <w:tc>
          <w:tcPr>
            <w:tcW w:w="3100" w:type="dxa"/>
            <w:tcBorders>
              <w:top w:val="nil"/>
              <w:left w:val="single" w:sz="4" w:space="0" w:color="auto"/>
              <w:bottom w:val="nil"/>
              <w:right w:val="nil"/>
            </w:tcBorders>
            <w:shd w:val="clear" w:color="auto" w:fill="auto"/>
            <w:noWrap/>
            <w:vAlign w:val="bottom"/>
            <w:hideMark/>
          </w:tcPr>
          <w:p w:rsidR="006E1A2C" w:rsidRPr="00EE5DC0" w:rsidRDefault="006E1A2C" w:rsidP="00D25B17">
            <w:pPr>
              <w:jc w:val="right"/>
              <w:rPr>
                <w:rFonts w:asciiTheme="minorHAnsi" w:eastAsia="Times New Roman" w:hAnsiTheme="minorHAnsi" w:cs="Arial"/>
                <w:bCs/>
                <w:lang w:eastAsia="it-IT"/>
              </w:rPr>
            </w:pPr>
            <w:r w:rsidRPr="00EE5DC0">
              <w:rPr>
                <w:rFonts w:asciiTheme="minorHAnsi" w:eastAsia="Times New Roman" w:hAnsiTheme="minorHAnsi" w:cs="Arial"/>
                <w:bCs/>
                <w:lang w:eastAsia="it-IT"/>
              </w:rPr>
              <w:t>AEU (13)</w:t>
            </w:r>
          </w:p>
        </w:tc>
        <w:tc>
          <w:tcPr>
            <w:tcW w:w="1000" w:type="dxa"/>
            <w:tcBorders>
              <w:top w:val="nil"/>
              <w:left w:val="single" w:sz="4" w:space="0" w:color="auto"/>
              <w:bottom w:val="nil"/>
              <w:right w:val="single" w:sz="4" w:space="0" w:color="auto"/>
            </w:tcBorders>
            <w:shd w:val="clear" w:color="auto" w:fill="auto"/>
            <w:noWrap/>
            <w:vAlign w:val="bottom"/>
            <w:hideMark/>
          </w:tcPr>
          <w:p w:rsidR="006E1A2C" w:rsidRPr="006E1A2C" w:rsidRDefault="006E1A2C" w:rsidP="00D25B17">
            <w:pPr>
              <w:jc w:val="center"/>
              <w:rPr>
                <w:rFonts w:asciiTheme="minorHAnsi" w:eastAsia="Times New Roman" w:hAnsiTheme="minorHAnsi" w:cs="Arial"/>
                <w:lang w:eastAsia="it-IT"/>
              </w:rPr>
            </w:pPr>
            <w:r w:rsidRPr="006E1A2C">
              <w:rPr>
                <w:rFonts w:asciiTheme="minorHAnsi" w:eastAsia="Times New Roman" w:hAnsiTheme="minorHAnsi" w:cs="Arial"/>
                <w:lang w:eastAsia="it-IT"/>
              </w:rPr>
              <w:t>0.31</w:t>
            </w:r>
          </w:p>
        </w:tc>
        <w:tc>
          <w:tcPr>
            <w:tcW w:w="1060" w:type="dxa"/>
            <w:tcBorders>
              <w:top w:val="nil"/>
              <w:left w:val="nil"/>
              <w:bottom w:val="nil"/>
              <w:right w:val="nil"/>
            </w:tcBorders>
            <w:shd w:val="clear" w:color="auto" w:fill="auto"/>
            <w:noWrap/>
            <w:vAlign w:val="bottom"/>
            <w:hideMark/>
          </w:tcPr>
          <w:p w:rsidR="006E1A2C" w:rsidRPr="006E1A2C" w:rsidRDefault="006E1A2C" w:rsidP="00D25B17">
            <w:pPr>
              <w:jc w:val="center"/>
              <w:rPr>
                <w:rFonts w:asciiTheme="minorHAnsi" w:eastAsia="Times New Roman" w:hAnsiTheme="minorHAnsi" w:cs="Arial"/>
                <w:lang w:eastAsia="it-IT"/>
              </w:rPr>
            </w:pPr>
            <w:r w:rsidRPr="006E1A2C">
              <w:rPr>
                <w:rFonts w:asciiTheme="minorHAnsi" w:eastAsia="Times New Roman" w:hAnsiTheme="minorHAnsi" w:cs="Arial"/>
                <w:lang w:eastAsia="it-IT"/>
              </w:rPr>
              <w:t>0.31</w:t>
            </w:r>
          </w:p>
        </w:tc>
        <w:tc>
          <w:tcPr>
            <w:tcW w:w="1376" w:type="dxa"/>
            <w:tcBorders>
              <w:top w:val="nil"/>
              <w:left w:val="single" w:sz="4" w:space="0" w:color="auto"/>
              <w:bottom w:val="nil"/>
              <w:right w:val="single" w:sz="4" w:space="0" w:color="auto"/>
            </w:tcBorders>
            <w:shd w:val="clear" w:color="auto" w:fill="auto"/>
            <w:noWrap/>
            <w:vAlign w:val="bottom"/>
            <w:hideMark/>
          </w:tcPr>
          <w:p w:rsidR="006E1A2C" w:rsidRPr="006E1A2C" w:rsidRDefault="006E1A2C" w:rsidP="00D25B17">
            <w:pPr>
              <w:jc w:val="center"/>
              <w:rPr>
                <w:rFonts w:asciiTheme="minorHAnsi" w:eastAsia="Times New Roman" w:hAnsiTheme="minorHAnsi" w:cs="Arial"/>
                <w:lang w:eastAsia="it-IT"/>
              </w:rPr>
            </w:pPr>
            <w:r w:rsidRPr="006E1A2C">
              <w:rPr>
                <w:rFonts w:asciiTheme="minorHAnsi" w:eastAsia="Times New Roman" w:hAnsiTheme="minorHAnsi" w:cs="Arial"/>
                <w:lang w:eastAsia="it-IT"/>
              </w:rPr>
              <w:t>0.38</w:t>
            </w:r>
          </w:p>
        </w:tc>
      </w:tr>
      <w:tr w:rsidR="006E1A2C" w:rsidRPr="006E1A2C" w:rsidTr="006E1A2C">
        <w:trPr>
          <w:trHeight w:val="300"/>
        </w:trPr>
        <w:tc>
          <w:tcPr>
            <w:tcW w:w="3100" w:type="dxa"/>
            <w:tcBorders>
              <w:top w:val="nil"/>
              <w:left w:val="single" w:sz="4" w:space="0" w:color="auto"/>
              <w:bottom w:val="single" w:sz="4" w:space="0" w:color="auto"/>
              <w:right w:val="nil"/>
            </w:tcBorders>
            <w:shd w:val="clear" w:color="auto" w:fill="auto"/>
            <w:noWrap/>
            <w:vAlign w:val="bottom"/>
            <w:hideMark/>
          </w:tcPr>
          <w:p w:rsidR="006E1A2C" w:rsidRPr="00EE5DC0" w:rsidRDefault="006E1A2C" w:rsidP="00D25B17">
            <w:pPr>
              <w:jc w:val="right"/>
              <w:rPr>
                <w:rFonts w:asciiTheme="minorHAnsi" w:eastAsia="Times New Roman" w:hAnsiTheme="minorHAnsi" w:cs="Arial"/>
                <w:bCs/>
                <w:lang w:eastAsia="it-IT"/>
              </w:rPr>
            </w:pPr>
            <w:r w:rsidRPr="00EE5DC0">
              <w:rPr>
                <w:rFonts w:asciiTheme="minorHAnsi" w:eastAsia="Times New Roman" w:hAnsiTheme="minorHAnsi" w:cs="Arial"/>
                <w:bCs/>
                <w:lang w:eastAsia="it-IT"/>
              </w:rPr>
              <w:t>VEU (56)</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6E1A2C" w:rsidRPr="006E1A2C" w:rsidRDefault="006E1A2C" w:rsidP="00D25B17">
            <w:pPr>
              <w:jc w:val="center"/>
              <w:rPr>
                <w:rFonts w:asciiTheme="minorHAnsi" w:eastAsia="Times New Roman" w:hAnsiTheme="minorHAnsi" w:cs="Arial"/>
                <w:lang w:eastAsia="it-IT"/>
              </w:rPr>
            </w:pPr>
            <w:r w:rsidRPr="006E1A2C">
              <w:rPr>
                <w:rFonts w:asciiTheme="minorHAnsi" w:eastAsia="Times New Roman" w:hAnsiTheme="minorHAnsi" w:cs="Arial"/>
                <w:lang w:eastAsia="it-IT"/>
              </w:rPr>
              <w:t>0.34</w:t>
            </w:r>
          </w:p>
        </w:tc>
        <w:tc>
          <w:tcPr>
            <w:tcW w:w="1060" w:type="dxa"/>
            <w:tcBorders>
              <w:top w:val="nil"/>
              <w:left w:val="nil"/>
              <w:bottom w:val="single" w:sz="4" w:space="0" w:color="auto"/>
              <w:right w:val="nil"/>
            </w:tcBorders>
            <w:shd w:val="clear" w:color="auto" w:fill="auto"/>
            <w:noWrap/>
            <w:vAlign w:val="bottom"/>
            <w:hideMark/>
          </w:tcPr>
          <w:p w:rsidR="006E1A2C" w:rsidRPr="006E1A2C" w:rsidRDefault="006E1A2C" w:rsidP="00D25B17">
            <w:pPr>
              <w:jc w:val="center"/>
              <w:rPr>
                <w:rFonts w:asciiTheme="minorHAnsi" w:eastAsia="Times New Roman" w:hAnsiTheme="minorHAnsi" w:cs="Arial"/>
                <w:lang w:eastAsia="it-IT"/>
              </w:rPr>
            </w:pPr>
            <w:r w:rsidRPr="006E1A2C">
              <w:rPr>
                <w:rFonts w:asciiTheme="minorHAnsi" w:eastAsia="Times New Roman" w:hAnsiTheme="minorHAnsi" w:cs="Arial"/>
                <w:lang w:eastAsia="it-IT"/>
              </w:rPr>
              <w:t>0.04</w:t>
            </w:r>
          </w:p>
        </w:tc>
        <w:tc>
          <w:tcPr>
            <w:tcW w:w="1376" w:type="dxa"/>
            <w:tcBorders>
              <w:top w:val="nil"/>
              <w:left w:val="single" w:sz="4" w:space="0" w:color="auto"/>
              <w:bottom w:val="single" w:sz="4" w:space="0" w:color="auto"/>
              <w:right w:val="single" w:sz="4" w:space="0" w:color="auto"/>
            </w:tcBorders>
            <w:shd w:val="clear" w:color="auto" w:fill="auto"/>
            <w:noWrap/>
            <w:vAlign w:val="bottom"/>
            <w:hideMark/>
          </w:tcPr>
          <w:p w:rsidR="006E1A2C" w:rsidRPr="006E1A2C" w:rsidRDefault="006E1A2C" w:rsidP="00D25B17">
            <w:pPr>
              <w:jc w:val="center"/>
              <w:rPr>
                <w:rFonts w:asciiTheme="minorHAnsi" w:eastAsia="Times New Roman" w:hAnsiTheme="minorHAnsi" w:cs="Arial"/>
                <w:lang w:eastAsia="it-IT"/>
              </w:rPr>
            </w:pPr>
            <w:r w:rsidRPr="006E1A2C">
              <w:rPr>
                <w:rFonts w:asciiTheme="minorHAnsi" w:eastAsia="Times New Roman" w:hAnsiTheme="minorHAnsi" w:cs="Arial"/>
                <w:lang w:eastAsia="it-IT"/>
              </w:rPr>
              <w:t>0.63</w:t>
            </w:r>
          </w:p>
        </w:tc>
      </w:tr>
    </w:tbl>
    <w:p w:rsidR="006E1A2C" w:rsidRDefault="006E1A2C" w:rsidP="00F16B7F">
      <w:pPr>
        <w:spacing w:line="360" w:lineRule="auto"/>
        <w:jc w:val="both"/>
        <w:rPr>
          <w:rFonts w:asciiTheme="minorHAnsi" w:hAnsiTheme="minorHAnsi"/>
        </w:rPr>
      </w:pPr>
    </w:p>
    <w:p w:rsidR="004A7CD1" w:rsidRDefault="004A7CD1" w:rsidP="00F16B7F">
      <w:pPr>
        <w:spacing w:line="360" w:lineRule="auto"/>
        <w:jc w:val="both"/>
        <w:rPr>
          <w:rFonts w:asciiTheme="minorHAnsi" w:hAnsiTheme="minorHAnsi"/>
        </w:rPr>
      </w:pPr>
      <w:r>
        <w:rPr>
          <w:rFonts w:asciiTheme="minorHAnsi" w:hAnsiTheme="minorHAnsi"/>
        </w:rPr>
        <w:t>The largest numbers occur down the main diagonal</w:t>
      </w:r>
      <w:r w:rsidR="00A93E8D">
        <w:rPr>
          <w:rFonts w:asciiTheme="minorHAnsi" w:hAnsiTheme="minorHAnsi"/>
        </w:rPr>
        <w:t xml:space="preserve">, though they are not all </w:t>
      </w:r>
      <w:proofErr w:type="gramStart"/>
      <w:r w:rsidR="00A93E8D">
        <w:rPr>
          <w:rFonts w:asciiTheme="minorHAnsi" w:hAnsiTheme="minorHAnsi"/>
        </w:rPr>
        <w:t>one’s</w:t>
      </w:r>
      <w:proofErr w:type="gramEnd"/>
      <w:r>
        <w:rPr>
          <w:rFonts w:asciiTheme="minorHAnsi" w:hAnsiTheme="minorHAnsi"/>
        </w:rPr>
        <w:t xml:space="preserve">. The table is not quite symmetric – there being more moves from AEU to SEU than vice-versa, and </w:t>
      </w:r>
      <w:r w:rsidR="005B4DFD">
        <w:rPr>
          <w:rFonts w:asciiTheme="minorHAnsi" w:hAnsiTheme="minorHAnsi"/>
        </w:rPr>
        <w:t xml:space="preserve">slightly </w:t>
      </w:r>
      <w:r>
        <w:rPr>
          <w:rFonts w:asciiTheme="minorHAnsi" w:hAnsiTheme="minorHAnsi"/>
        </w:rPr>
        <w:t>more moves from AEU to VEU than vice-versa</w:t>
      </w:r>
      <w:r w:rsidR="0058545F">
        <w:rPr>
          <w:rFonts w:asciiTheme="minorHAnsi" w:hAnsiTheme="minorHAnsi"/>
        </w:rPr>
        <w:t>. So there are some cha</w:t>
      </w:r>
      <w:r w:rsidR="00184378">
        <w:rPr>
          <w:rFonts w:asciiTheme="minorHAnsi" w:hAnsiTheme="minorHAnsi"/>
        </w:rPr>
        <w:t>nges at the individual level. However</w:t>
      </w:r>
      <w:r w:rsidR="0058545F">
        <w:rPr>
          <w:rFonts w:asciiTheme="minorHAnsi" w:hAnsiTheme="minorHAnsi"/>
        </w:rPr>
        <w:t xml:space="preserve"> if we look at the distribution of subjects over the three functionals we get the table below.</w:t>
      </w:r>
    </w:p>
    <w:p w:rsidR="00E659B0" w:rsidRDefault="00E659B0" w:rsidP="00F16B7F">
      <w:pPr>
        <w:spacing w:line="360" w:lineRule="auto"/>
        <w:jc w:val="both"/>
        <w:rPr>
          <w:rFonts w:asciiTheme="minorHAnsi" w:hAnsiTheme="minorHAnsi"/>
        </w:rPr>
      </w:pPr>
    </w:p>
    <w:tbl>
      <w:tblPr>
        <w:tblStyle w:val="TableGrid"/>
        <w:tblW w:w="0" w:type="auto"/>
        <w:tblLook w:val="04A0" w:firstRow="1" w:lastRow="0" w:firstColumn="1" w:lastColumn="0" w:noHBand="0" w:noVBand="1"/>
      </w:tblPr>
      <w:tblGrid>
        <w:gridCol w:w="1848"/>
        <w:gridCol w:w="1848"/>
        <w:gridCol w:w="1848"/>
        <w:gridCol w:w="1849"/>
        <w:gridCol w:w="1849"/>
      </w:tblGrid>
      <w:tr w:rsidR="00E659B0" w:rsidTr="005D0DE4">
        <w:tc>
          <w:tcPr>
            <w:tcW w:w="1848" w:type="dxa"/>
            <w:vMerge w:val="restart"/>
            <w:vAlign w:val="bottom"/>
          </w:tcPr>
          <w:p w:rsidR="00E659B0" w:rsidRPr="00184378" w:rsidRDefault="00E659B0" w:rsidP="00E659B0">
            <w:pPr>
              <w:rPr>
                <w:rFonts w:asciiTheme="minorHAnsi" w:eastAsia="Times New Roman" w:hAnsiTheme="minorHAnsi"/>
                <w:bCs/>
                <w:color w:val="000000"/>
                <w:lang w:eastAsia="it-IT"/>
              </w:rPr>
            </w:pPr>
            <w:r>
              <w:rPr>
                <w:rFonts w:asciiTheme="minorHAnsi" w:eastAsia="Times New Roman" w:hAnsiTheme="minorHAnsi"/>
                <w:bCs/>
                <w:color w:val="000000"/>
                <w:lang w:eastAsia="it-IT"/>
              </w:rPr>
              <w:t xml:space="preserve">                              </w:t>
            </w:r>
            <w:r w:rsidRPr="00184378">
              <w:rPr>
                <w:rFonts w:asciiTheme="minorHAnsi" w:eastAsia="Times New Roman" w:hAnsiTheme="minorHAnsi"/>
                <w:bCs/>
                <w:color w:val="000000"/>
                <w:lang w:eastAsia="it-IT"/>
              </w:rPr>
              <w:t xml:space="preserve">Group </w:t>
            </w:r>
            <w:r>
              <w:rPr>
                <w:rFonts w:asciiTheme="minorHAnsi" w:eastAsia="Times New Roman" w:hAnsiTheme="minorHAnsi"/>
                <w:bCs/>
                <w:color w:val="000000"/>
                <w:lang w:eastAsia="it-IT"/>
              </w:rPr>
              <w:t>1/2</w:t>
            </w:r>
          </w:p>
        </w:tc>
        <w:tc>
          <w:tcPr>
            <w:tcW w:w="5545" w:type="dxa"/>
            <w:gridSpan w:val="3"/>
            <w:vAlign w:val="bottom"/>
          </w:tcPr>
          <w:p w:rsidR="00E659B0" w:rsidRPr="00184378" w:rsidRDefault="00E659B0" w:rsidP="00E659B0">
            <w:pPr>
              <w:rPr>
                <w:rFonts w:asciiTheme="minorHAnsi" w:eastAsia="Times New Roman" w:hAnsiTheme="minorHAnsi"/>
                <w:color w:val="000000"/>
                <w:lang w:eastAsia="it-IT"/>
              </w:rPr>
            </w:pPr>
            <w:r w:rsidRPr="00184378">
              <w:rPr>
                <w:rFonts w:asciiTheme="minorHAnsi" w:eastAsia="Times New Roman" w:hAnsiTheme="minorHAnsi"/>
                <w:color w:val="000000"/>
                <w:lang w:eastAsia="it-IT"/>
              </w:rPr>
              <w:t> </w:t>
            </w:r>
            <w:r>
              <w:rPr>
                <w:rFonts w:asciiTheme="minorHAnsi" w:eastAsia="Times New Roman" w:hAnsiTheme="minorHAnsi"/>
                <w:color w:val="000000"/>
                <w:lang w:eastAsia="it-IT"/>
              </w:rPr>
              <w:t>Percentages</w:t>
            </w:r>
          </w:p>
        </w:tc>
        <w:tc>
          <w:tcPr>
            <w:tcW w:w="1849" w:type="dxa"/>
            <w:vMerge w:val="restart"/>
          </w:tcPr>
          <w:p w:rsidR="00E659B0" w:rsidRDefault="00E659B0" w:rsidP="00E659B0">
            <w:pPr>
              <w:jc w:val="both"/>
              <w:rPr>
                <w:rFonts w:asciiTheme="minorHAnsi" w:hAnsiTheme="minorHAnsi"/>
              </w:rPr>
            </w:pPr>
          </w:p>
          <w:p w:rsidR="00E659B0" w:rsidRDefault="00E659B0" w:rsidP="00E659B0">
            <w:pPr>
              <w:jc w:val="both"/>
              <w:rPr>
                <w:rFonts w:asciiTheme="minorHAnsi" w:hAnsiTheme="minorHAnsi"/>
              </w:rPr>
            </w:pPr>
            <w:r>
              <w:rPr>
                <w:rFonts w:asciiTheme="minorHAnsi" w:hAnsiTheme="minorHAnsi"/>
              </w:rPr>
              <w:t>Average Ranking</w:t>
            </w:r>
          </w:p>
        </w:tc>
      </w:tr>
      <w:tr w:rsidR="00E659B0" w:rsidTr="00E91A27">
        <w:tc>
          <w:tcPr>
            <w:tcW w:w="1848" w:type="dxa"/>
            <w:vMerge/>
          </w:tcPr>
          <w:p w:rsidR="00E659B0" w:rsidRDefault="00E659B0" w:rsidP="00E659B0">
            <w:pPr>
              <w:jc w:val="both"/>
              <w:rPr>
                <w:rFonts w:asciiTheme="minorHAnsi" w:hAnsiTheme="minorHAnsi"/>
              </w:rPr>
            </w:pPr>
          </w:p>
        </w:tc>
        <w:tc>
          <w:tcPr>
            <w:tcW w:w="1848" w:type="dxa"/>
            <w:vAlign w:val="bottom"/>
          </w:tcPr>
          <w:p w:rsidR="00E659B0" w:rsidRPr="00184378" w:rsidRDefault="00E659B0" w:rsidP="00E659B0">
            <w:pPr>
              <w:jc w:val="center"/>
              <w:rPr>
                <w:rFonts w:asciiTheme="minorHAnsi" w:eastAsia="Times New Roman" w:hAnsiTheme="minorHAnsi"/>
                <w:bCs/>
                <w:color w:val="000000"/>
                <w:lang w:eastAsia="it-IT"/>
              </w:rPr>
            </w:pPr>
            <w:r w:rsidRPr="00184378">
              <w:rPr>
                <w:rFonts w:asciiTheme="minorHAnsi" w:eastAsia="Times New Roman" w:hAnsiTheme="minorHAnsi"/>
                <w:bCs/>
                <w:color w:val="000000"/>
                <w:lang w:eastAsia="it-IT"/>
              </w:rPr>
              <w:t>1st</w:t>
            </w:r>
          </w:p>
        </w:tc>
        <w:tc>
          <w:tcPr>
            <w:tcW w:w="1848" w:type="dxa"/>
            <w:vAlign w:val="bottom"/>
          </w:tcPr>
          <w:p w:rsidR="00E659B0" w:rsidRPr="00184378" w:rsidRDefault="00E659B0" w:rsidP="00E659B0">
            <w:pPr>
              <w:jc w:val="center"/>
              <w:rPr>
                <w:rFonts w:asciiTheme="minorHAnsi" w:eastAsia="Times New Roman" w:hAnsiTheme="minorHAnsi"/>
                <w:bCs/>
                <w:color w:val="000000"/>
                <w:lang w:eastAsia="it-IT"/>
              </w:rPr>
            </w:pPr>
            <w:r w:rsidRPr="00184378">
              <w:rPr>
                <w:rFonts w:asciiTheme="minorHAnsi" w:eastAsia="Times New Roman" w:hAnsiTheme="minorHAnsi"/>
                <w:bCs/>
                <w:color w:val="000000"/>
                <w:lang w:eastAsia="it-IT"/>
              </w:rPr>
              <w:t>2nd</w:t>
            </w:r>
          </w:p>
        </w:tc>
        <w:tc>
          <w:tcPr>
            <w:tcW w:w="1849" w:type="dxa"/>
            <w:vAlign w:val="bottom"/>
          </w:tcPr>
          <w:p w:rsidR="00E659B0" w:rsidRPr="00184378" w:rsidRDefault="00E659B0" w:rsidP="00E659B0">
            <w:pPr>
              <w:jc w:val="center"/>
              <w:rPr>
                <w:rFonts w:asciiTheme="minorHAnsi" w:eastAsia="Times New Roman" w:hAnsiTheme="minorHAnsi"/>
                <w:bCs/>
                <w:color w:val="000000"/>
                <w:lang w:eastAsia="it-IT"/>
              </w:rPr>
            </w:pPr>
            <w:r w:rsidRPr="00184378">
              <w:rPr>
                <w:rFonts w:asciiTheme="minorHAnsi" w:eastAsia="Times New Roman" w:hAnsiTheme="minorHAnsi"/>
                <w:bCs/>
                <w:color w:val="000000"/>
                <w:lang w:eastAsia="it-IT"/>
              </w:rPr>
              <w:t>3th</w:t>
            </w:r>
          </w:p>
        </w:tc>
        <w:tc>
          <w:tcPr>
            <w:tcW w:w="1849" w:type="dxa"/>
            <w:vMerge/>
          </w:tcPr>
          <w:p w:rsidR="00E659B0" w:rsidRDefault="00E659B0" w:rsidP="00E659B0">
            <w:pPr>
              <w:jc w:val="both"/>
              <w:rPr>
                <w:rFonts w:asciiTheme="minorHAnsi" w:hAnsiTheme="minorHAnsi"/>
              </w:rPr>
            </w:pPr>
          </w:p>
        </w:tc>
      </w:tr>
      <w:tr w:rsidR="00E659B0" w:rsidTr="00A86D67">
        <w:tc>
          <w:tcPr>
            <w:tcW w:w="1848" w:type="dxa"/>
            <w:vAlign w:val="bottom"/>
          </w:tcPr>
          <w:p w:rsidR="00E659B0" w:rsidRPr="00184378" w:rsidRDefault="00E659B0" w:rsidP="003B4E2F">
            <w:pPr>
              <w:rPr>
                <w:rFonts w:asciiTheme="minorHAnsi" w:eastAsia="Times New Roman" w:hAnsiTheme="minorHAnsi"/>
                <w:bCs/>
                <w:color w:val="000000"/>
                <w:lang w:eastAsia="it-IT"/>
              </w:rPr>
            </w:pPr>
            <w:r w:rsidRPr="00184378">
              <w:rPr>
                <w:rFonts w:asciiTheme="minorHAnsi" w:eastAsia="Times New Roman" w:hAnsiTheme="minorHAnsi"/>
                <w:bCs/>
                <w:color w:val="000000"/>
                <w:lang w:eastAsia="it-IT"/>
              </w:rPr>
              <w:t>SEU</w:t>
            </w:r>
          </w:p>
        </w:tc>
        <w:tc>
          <w:tcPr>
            <w:tcW w:w="1848" w:type="dxa"/>
            <w:vAlign w:val="bottom"/>
          </w:tcPr>
          <w:p w:rsidR="00E659B0" w:rsidRPr="00184378" w:rsidRDefault="00E659B0" w:rsidP="003B4E2F">
            <w:pPr>
              <w:jc w:val="center"/>
              <w:rPr>
                <w:rFonts w:asciiTheme="minorHAnsi" w:eastAsia="Times New Roman" w:hAnsiTheme="minorHAnsi"/>
                <w:color w:val="000000"/>
                <w:lang w:eastAsia="it-IT"/>
              </w:rPr>
            </w:pPr>
            <w:r>
              <w:rPr>
                <w:rFonts w:asciiTheme="minorHAnsi" w:eastAsia="Times New Roman" w:hAnsiTheme="minorHAnsi"/>
                <w:color w:val="000000"/>
                <w:lang w:eastAsia="it-IT"/>
              </w:rPr>
              <w:t>47/42</w:t>
            </w:r>
          </w:p>
        </w:tc>
        <w:tc>
          <w:tcPr>
            <w:tcW w:w="1848" w:type="dxa"/>
            <w:vAlign w:val="bottom"/>
          </w:tcPr>
          <w:p w:rsidR="00E659B0" w:rsidRPr="00184378" w:rsidRDefault="00E659B0" w:rsidP="003B4E2F">
            <w:pPr>
              <w:jc w:val="center"/>
              <w:rPr>
                <w:rFonts w:asciiTheme="minorHAnsi" w:eastAsia="Times New Roman" w:hAnsiTheme="minorHAnsi"/>
                <w:color w:val="000000"/>
                <w:lang w:eastAsia="it-IT"/>
              </w:rPr>
            </w:pPr>
            <w:r>
              <w:rPr>
                <w:rFonts w:asciiTheme="minorHAnsi" w:eastAsia="Times New Roman" w:hAnsiTheme="minorHAnsi"/>
                <w:color w:val="000000"/>
                <w:lang w:eastAsia="it-IT"/>
              </w:rPr>
              <w:t>34/32</w:t>
            </w:r>
          </w:p>
        </w:tc>
        <w:tc>
          <w:tcPr>
            <w:tcW w:w="1849" w:type="dxa"/>
            <w:vAlign w:val="bottom"/>
          </w:tcPr>
          <w:p w:rsidR="00E659B0" w:rsidRPr="00184378" w:rsidRDefault="00E659B0" w:rsidP="003B4E2F">
            <w:pPr>
              <w:jc w:val="center"/>
              <w:rPr>
                <w:rFonts w:asciiTheme="minorHAnsi" w:eastAsia="Times New Roman" w:hAnsiTheme="minorHAnsi"/>
                <w:color w:val="000000"/>
                <w:lang w:eastAsia="it-IT"/>
              </w:rPr>
            </w:pPr>
            <w:r>
              <w:rPr>
                <w:rFonts w:asciiTheme="minorHAnsi" w:eastAsia="Times New Roman" w:hAnsiTheme="minorHAnsi"/>
                <w:color w:val="000000"/>
                <w:lang w:eastAsia="it-IT"/>
              </w:rPr>
              <w:t>19/26</w:t>
            </w:r>
          </w:p>
        </w:tc>
        <w:tc>
          <w:tcPr>
            <w:tcW w:w="1849" w:type="dxa"/>
            <w:vAlign w:val="bottom"/>
          </w:tcPr>
          <w:p w:rsidR="00E659B0" w:rsidRPr="00184378" w:rsidRDefault="00E659B0" w:rsidP="003B4E2F">
            <w:pPr>
              <w:jc w:val="center"/>
              <w:rPr>
                <w:rFonts w:asciiTheme="minorHAnsi" w:eastAsia="Times New Roman" w:hAnsiTheme="minorHAnsi"/>
                <w:color w:val="000000"/>
                <w:lang w:eastAsia="it-IT"/>
              </w:rPr>
            </w:pPr>
            <w:r w:rsidRPr="00184378">
              <w:rPr>
                <w:rFonts w:asciiTheme="minorHAnsi" w:eastAsia="Times New Roman" w:hAnsiTheme="minorHAnsi"/>
                <w:color w:val="000000"/>
                <w:lang w:eastAsia="it-IT"/>
              </w:rPr>
              <w:t>1.73</w:t>
            </w:r>
            <w:r>
              <w:rPr>
                <w:rFonts w:asciiTheme="minorHAnsi" w:eastAsia="Times New Roman" w:hAnsiTheme="minorHAnsi"/>
                <w:color w:val="000000"/>
                <w:lang w:eastAsia="it-IT"/>
              </w:rPr>
              <w:t>/1.84</w:t>
            </w:r>
          </w:p>
        </w:tc>
      </w:tr>
      <w:tr w:rsidR="00E659B0" w:rsidTr="00A86D67">
        <w:tc>
          <w:tcPr>
            <w:tcW w:w="1848" w:type="dxa"/>
            <w:vAlign w:val="bottom"/>
          </w:tcPr>
          <w:p w:rsidR="00E659B0" w:rsidRPr="00184378" w:rsidRDefault="00E659B0" w:rsidP="003B4E2F">
            <w:pPr>
              <w:rPr>
                <w:rFonts w:asciiTheme="minorHAnsi" w:eastAsia="Times New Roman" w:hAnsiTheme="minorHAnsi"/>
                <w:bCs/>
                <w:color w:val="000000"/>
                <w:lang w:eastAsia="it-IT"/>
              </w:rPr>
            </w:pPr>
            <w:r w:rsidRPr="00184378">
              <w:rPr>
                <w:rFonts w:asciiTheme="minorHAnsi" w:eastAsia="Times New Roman" w:hAnsiTheme="minorHAnsi"/>
                <w:bCs/>
                <w:color w:val="000000"/>
                <w:lang w:eastAsia="it-IT"/>
              </w:rPr>
              <w:t>AEU</w:t>
            </w:r>
          </w:p>
        </w:tc>
        <w:tc>
          <w:tcPr>
            <w:tcW w:w="1848" w:type="dxa"/>
            <w:vAlign w:val="bottom"/>
          </w:tcPr>
          <w:p w:rsidR="00E659B0" w:rsidRPr="00184378" w:rsidRDefault="00E659B0" w:rsidP="003B4E2F">
            <w:pPr>
              <w:jc w:val="center"/>
              <w:rPr>
                <w:rFonts w:asciiTheme="minorHAnsi" w:eastAsia="Times New Roman" w:hAnsiTheme="minorHAnsi"/>
                <w:color w:val="000000"/>
                <w:lang w:eastAsia="it-IT"/>
              </w:rPr>
            </w:pPr>
            <w:r>
              <w:rPr>
                <w:rFonts w:asciiTheme="minorHAnsi" w:eastAsia="Times New Roman" w:hAnsiTheme="minorHAnsi"/>
                <w:color w:val="000000"/>
                <w:lang w:eastAsia="it-IT"/>
              </w:rPr>
              <w:t>10/10</w:t>
            </w:r>
          </w:p>
        </w:tc>
        <w:tc>
          <w:tcPr>
            <w:tcW w:w="1848" w:type="dxa"/>
            <w:vAlign w:val="bottom"/>
          </w:tcPr>
          <w:p w:rsidR="00E659B0" w:rsidRPr="00184378" w:rsidRDefault="00E659B0" w:rsidP="003B4E2F">
            <w:pPr>
              <w:jc w:val="center"/>
              <w:rPr>
                <w:rFonts w:asciiTheme="minorHAnsi" w:eastAsia="Times New Roman" w:hAnsiTheme="minorHAnsi"/>
                <w:color w:val="000000"/>
                <w:lang w:eastAsia="it-IT"/>
              </w:rPr>
            </w:pPr>
            <w:r>
              <w:rPr>
                <w:rFonts w:asciiTheme="minorHAnsi" w:eastAsia="Times New Roman" w:hAnsiTheme="minorHAnsi"/>
                <w:color w:val="000000"/>
                <w:lang w:eastAsia="it-IT"/>
              </w:rPr>
              <w:t>19/27</w:t>
            </w:r>
          </w:p>
        </w:tc>
        <w:tc>
          <w:tcPr>
            <w:tcW w:w="1849" w:type="dxa"/>
            <w:vAlign w:val="bottom"/>
          </w:tcPr>
          <w:p w:rsidR="00E659B0" w:rsidRPr="00184378" w:rsidRDefault="00E659B0" w:rsidP="003B4E2F">
            <w:pPr>
              <w:jc w:val="center"/>
              <w:rPr>
                <w:rFonts w:asciiTheme="minorHAnsi" w:eastAsia="Times New Roman" w:hAnsiTheme="minorHAnsi"/>
                <w:color w:val="000000"/>
                <w:lang w:eastAsia="it-IT"/>
              </w:rPr>
            </w:pPr>
            <w:r>
              <w:rPr>
                <w:rFonts w:asciiTheme="minorHAnsi" w:eastAsia="Times New Roman" w:hAnsiTheme="minorHAnsi"/>
                <w:color w:val="000000"/>
                <w:lang w:eastAsia="it-IT"/>
              </w:rPr>
              <w:t>71/63</w:t>
            </w:r>
          </w:p>
        </w:tc>
        <w:tc>
          <w:tcPr>
            <w:tcW w:w="1849" w:type="dxa"/>
            <w:vAlign w:val="bottom"/>
          </w:tcPr>
          <w:p w:rsidR="00E659B0" w:rsidRPr="00184378" w:rsidRDefault="00E659B0" w:rsidP="003B4E2F">
            <w:pPr>
              <w:jc w:val="center"/>
              <w:rPr>
                <w:rFonts w:asciiTheme="minorHAnsi" w:eastAsia="Times New Roman" w:hAnsiTheme="minorHAnsi"/>
                <w:color w:val="000000"/>
                <w:lang w:eastAsia="it-IT"/>
              </w:rPr>
            </w:pPr>
            <w:r w:rsidRPr="00184378">
              <w:rPr>
                <w:rFonts w:asciiTheme="minorHAnsi" w:eastAsia="Times New Roman" w:hAnsiTheme="minorHAnsi"/>
                <w:color w:val="000000"/>
                <w:lang w:eastAsia="it-IT"/>
              </w:rPr>
              <w:t>2.61</w:t>
            </w:r>
            <w:r>
              <w:rPr>
                <w:rFonts w:asciiTheme="minorHAnsi" w:eastAsia="Times New Roman" w:hAnsiTheme="minorHAnsi"/>
                <w:color w:val="000000"/>
                <w:lang w:eastAsia="it-IT"/>
              </w:rPr>
              <w:t>/2.53</w:t>
            </w:r>
          </w:p>
        </w:tc>
      </w:tr>
      <w:tr w:rsidR="00E659B0" w:rsidTr="00A86D67">
        <w:tc>
          <w:tcPr>
            <w:tcW w:w="1848" w:type="dxa"/>
            <w:vAlign w:val="bottom"/>
          </w:tcPr>
          <w:p w:rsidR="00E659B0" w:rsidRPr="00184378" w:rsidRDefault="00E659B0" w:rsidP="003B4E2F">
            <w:pPr>
              <w:rPr>
                <w:rFonts w:asciiTheme="minorHAnsi" w:eastAsia="Times New Roman" w:hAnsiTheme="minorHAnsi"/>
                <w:bCs/>
                <w:color w:val="000000"/>
                <w:lang w:eastAsia="it-IT"/>
              </w:rPr>
            </w:pPr>
            <w:r w:rsidRPr="00184378">
              <w:rPr>
                <w:rFonts w:asciiTheme="minorHAnsi" w:eastAsia="Times New Roman" w:hAnsiTheme="minorHAnsi"/>
                <w:bCs/>
                <w:color w:val="000000"/>
                <w:lang w:eastAsia="it-IT"/>
              </w:rPr>
              <w:t>VEU</w:t>
            </w:r>
          </w:p>
        </w:tc>
        <w:tc>
          <w:tcPr>
            <w:tcW w:w="1848" w:type="dxa"/>
            <w:vAlign w:val="bottom"/>
          </w:tcPr>
          <w:p w:rsidR="00E659B0" w:rsidRPr="00184378" w:rsidRDefault="00E659B0" w:rsidP="003B4E2F">
            <w:pPr>
              <w:jc w:val="center"/>
              <w:rPr>
                <w:rFonts w:asciiTheme="minorHAnsi" w:eastAsia="Times New Roman" w:hAnsiTheme="minorHAnsi"/>
                <w:color w:val="000000"/>
                <w:lang w:eastAsia="it-IT"/>
              </w:rPr>
            </w:pPr>
            <w:r>
              <w:rPr>
                <w:rFonts w:asciiTheme="minorHAnsi" w:eastAsia="Times New Roman" w:hAnsiTheme="minorHAnsi"/>
                <w:color w:val="000000"/>
                <w:lang w:eastAsia="it-IT"/>
              </w:rPr>
              <w:t>43/48</w:t>
            </w:r>
          </w:p>
        </w:tc>
        <w:tc>
          <w:tcPr>
            <w:tcW w:w="1848" w:type="dxa"/>
            <w:vAlign w:val="bottom"/>
          </w:tcPr>
          <w:p w:rsidR="00E659B0" w:rsidRPr="00184378" w:rsidRDefault="00E659B0" w:rsidP="003B4E2F">
            <w:pPr>
              <w:jc w:val="center"/>
              <w:rPr>
                <w:rFonts w:asciiTheme="minorHAnsi" w:eastAsia="Times New Roman" w:hAnsiTheme="minorHAnsi"/>
                <w:color w:val="000000"/>
                <w:lang w:eastAsia="it-IT"/>
              </w:rPr>
            </w:pPr>
            <w:r>
              <w:rPr>
                <w:rFonts w:asciiTheme="minorHAnsi" w:eastAsia="Times New Roman" w:hAnsiTheme="minorHAnsi"/>
                <w:color w:val="000000"/>
                <w:lang w:eastAsia="it-IT"/>
              </w:rPr>
              <w:t>47/41</w:t>
            </w:r>
          </w:p>
        </w:tc>
        <w:tc>
          <w:tcPr>
            <w:tcW w:w="1849" w:type="dxa"/>
            <w:vAlign w:val="bottom"/>
          </w:tcPr>
          <w:p w:rsidR="00E659B0" w:rsidRPr="00184378" w:rsidRDefault="00E659B0" w:rsidP="003B4E2F">
            <w:pPr>
              <w:jc w:val="center"/>
              <w:rPr>
                <w:rFonts w:asciiTheme="minorHAnsi" w:eastAsia="Times New Roman" w:hAnsiTheme="minorHAnsi"/>
                <w:color w:val="000000"/>
                <w:lang w:eastAsia="it-IT"/>
              </w:rPr>
            </w:pPr>
            <w:r>
              <w:rPr>
                <w:rFonts w:asciiTheme="minorHAnsi" w:eastAsia="Times New Roman" w:hAnsiTheme="minorHAnsi"/>
                <w:color w:val="000000"/>
                <w:lang w:eastAsia="it-IT"/>
              </w:rPr>
              <w:t>9/11</w:t>
            </w:r>
          </w:p>
        </w:tc>
        <w:tc>
          <w:tcPr>
            <w:tcW w:w="1849" w:type="dxa"/>
            <w:vAlign w:val="bottom"/>
          </w:tcPr>
          <w:p w:rsidR="00E659B0" w:rsidRPr="00184378" w:rsidRDefault="00E659B0" w:rsidP="003B4E2F">
            <w:pPr>
              <w:jc w:val="center"/>
              <w:rPr>
                <w:rFonts w:asciiTheme="minorHAnsi" w:eastAsia="Times New Roman" w:hAnsiTheme="minorHAnsi"/>
                <w:color w:val="000000"/>
                <w:lang w:eastAsia="it-IT"/>
              </w:rPr>
            </w:pPr>
            <w:r w:rsidRPr="00184378">
              <w:rPr>
                <w:rFonts w:asciiTheme="minorHAnsi" w:eastAsia="Times New Roman" w:hAnsiTheme="minorHAnsi"/>
                <w:color w:val="000000"/>
                <w:lang w:eastAsia="it-IT"/>
              </w:rPr>
              <w:t>1.66</w:t>
            </w:r>
            <w:r>
              <w:rPr>
                <w:rFonts w:asciiTheme="minorHAnsi" w:eastAsia="Times New Roman" w:hAnsiTheme="minorHAnsi"/>
                <w:color w:val="000000"/>
                <w:lang w:eastAsia="it-IT"/>
              </w:rPr>
              <w:t>/1.63</w:t>
            </w:r>
          </w:p>
        </w:tc>
      </w:tr>
    </w:tbl>
    <w:p w:rsidR="00184378" w:rsidRDefault="00184378" w:rsidP="00F16B7F">
      <w:pPr>
        <w:spacing w:line="360" w:lineRule="auto"/>
        <w:jc w:val="both"/>
        <w:rPr>
          <w:rFonts w:asciiTheme="minorHAnsi" w:hAnsiTheme="minorHAnsi"/>
        </w:rPr>
      </w:pPr>
    </w:p>
    <w:p w:rsidR="00184378" w:rsidRDefault="00E659B0" w:rsidP="00F16B7F">
      <w:pPr>
        <w:spacing w:line="360" w:lineRule="auto"/>
        <w:jc w:val="both"/>
        <w:rPr>
          <w:rFonts w:asciiTheme="minorHAnsi" w:hAnsiTheme="minorHAnsi"/>
        </w:rPr>
      </w:pPr>
      <w:r>
        <w:rPr>
          <w:rFonts w:asciiTheme="minorHAnsi" w:hAnsiTheme="minorHAnsi"/>
        </w:rPr>
        <w:t xml:space="preserve">In terms of the first place, </w:t>
      </w:r>
      <w:r w:rsidR="00184378">
        <w:rPr>
          <w:rFonts w:asciiTheme="minorHAnsi" w:hAnsiTheme="minorHAnsi"/>
        </w:rPr>
        <w:t>SEU</w:t>
      </w:r>
      <w:r w:rsidR="00D23013">
        <w:rPr>
          <w:rFonts w:asciiTheme="minorHAnsi" w:hAnsiTheme="minorHAnsi"/>
        </w:rPr>
        <w:t xml:space="preserve"> has moved marginally down and V</w:t>
      </w:r>
      <w:r w:rsidR="00184378">
        <w:rPr>
          <w:rFonts w:asciiTheme="minorHAnsi" w:hAnsiTheme="minorHAnsi"/>
        </w:rPr>
        <w:t>EU marginally up</w:t>
      </w:r>
      <w:r>
        <w:rPr>
          <w:rFonts w:asciiTheme="minorHAnsi" w:hAnsiTheme="minorHAnsi"/>
        </w:rPr>
        <w:t>; in terms of the average ranking the reverse is true,</w:t>
      </w:r>
      <w:r w:rsidR="00184378">
        <w:rPr>
          <w:rFonts w:asciiTheme="minorHAnsi" w:hAnsiTheme="minorHAnsi"/>
        </w:rPr>
        <w:t xml:space="preserve"> but the differences are small.</w:t>
      </w:r>
      <w:r w:rsidR="005B4DFD">
        <w:rPr>
          <w:rFonts w:asciiTheme="minorHAnsi" w:hAnsiTheme="minorHAnsi"/>
        </w:rPr>
        <w:t xml:space="preserve"> On average preferences do not appear to change, though at the individual level there are changes.</w:t>
      </w:r>
    </w:p>
    <w:p w:rsidR="00A93E8D" w:rsidRDefault="005B4DFD" w:rsidP="003E31CC">
      <w:pPr>
        <w:spacing w:line="360" w:lineRule="auto"/>
        <w:jc w:val="both"/>
        <w:rPr>
          <w:rFonts w:asciiTheme="minorHAnsi" w:hAnsiTheme="minorHAnsi"/>
        </w:rPr>
      </w:pPr>
      <w:r>
        <w:rPr>
          <w:rFonts w:asciiTheme="minorHAnsi" w:hAnsiTheme="minorHAnsi"/>
        </w:rPr>
        <w:t>Given any preference function, a second question needs to be asked. Do the estimated parameters change from half to half? There are three types of parameter: the risk-aversion parameter; the pre</w:t>
      </w:r>
      <w:r w:rsidR="00F6522E">
        <w:rPr>
          <w:rFonts w:asciiTheme="minorHAnsi" w:hAnsiTheme="minorHAnsi"/>
        </w:rPr>
        <w:t xml:space="preserve">cision parameter; and </w:t>
      </w:r>
      <w:r>
        <w:rPr>
          <w:rFonts w:asciiTheme="minorHAnsi" w:hAnsiTheme="minorHAnsi"/>
        </w:rPr>
        <w:t xml:space="preserve">parameters which describe the </w:t>
      </w:r>
      <w:r w:rsidRPr="00F6522E">
        <w:rPr>
          <w:rFonts w:asciiTheme="minorHAnsi" w:hAnsiTheme="minorHAnsi"/>
          <w:i/>
        </w:rPr>
        <w:t>perception</w:t>
      </w:r>
      <w:r>
        <w:rPr>
          <w:rFonts w:asciiTheme="minorHAnsi" w:hAnsiTheme="minorHAnsi"/>
        </w:rPr>
        <w:t xml:space="preserve"> of the ambiguity by the subject. These latter vary from preference functional to preference functional: they are the estimated probabilities for SEU; the lower bounds on the probabilities </w:t>
      </w:r>
      <w:r w:rsidR="00693B3D">
        <w:rPr>
          <w:rFonts w:asciiTheme="minorHAnsi" w:hAnsiTheme="minorHAnsi"/>
        </w:rPr>
        <w:t xml:space="preserve">and the pessimism/optimism parameter </w:t>
      </w:r>
      <w:r>
        <w:rPr>
          <w:rFonts w:asciiTheme="minorHAnsi" w:hAnsiTheme="minorHAnsi"/>
        </w:rPr>
        <w:t>f</w:t>
      </w:r>
      <w:r w:rsidR="00E42401">
        <w:rPr>
          <w:rFonts w:asciiTheme="minorHAnsi" w:hAnsiTheme="minorHAnsi"/>
        </w:rPr>
        <w:t>or AEU; and the</w:t>
      </w:r>
      <w:r w:rsidR="00611293">
        <w:rPr>
          <w:rFonts w:asciiTheme="minorHAnsi" w:hAnsiTheme="minorHAnsi"/>
        </w:rPr>
        <w:t xml:space="preserve"> perceived probabilities and the</w:t>
      </w:r>
      <w:r w:rsidR="00E42401">
        <w:rPr>
          <w:rFonts w:asciiTheme="minorHAnsi" w:hAnsiTheme="minorHAnsi"/>
        </w:rPr>
        <w:t xml:space="preserve"> delta parameter for V</w:t>
      </w:r>
      <w:r>
        <w:rPr>
          <w:rFonts w:asciiTheme="minorHAnsi" w:hAnsiTheme="minorHAnsi"/>
        </w:rPr>
        <w:t xml:space="preserve">EU. </w:t>
      </w:r>
    </w:p>
    <w:p w:rsidR="00D23013" w:rsidRDefault="005B4DFD" w:rsidP="003E31CC">
      <w:pPr>
        <w:spacing w:line="360" w:lineRule="auto"/>
        <w:jc w:val="both"/>
        <w:rPr>
          <w:rFonts w:asciiTheme="minorHAnsi" w:hAnsiTheme="minorHAnsi"/>
        </w:rPr>
      </w:pPr>
      <w:r>
        <w:rPr>
          <w:rFonts w:asciiTheme="minorHAnsi" w:hAnsiTheme="minorHAnsi"/>
        </w:rPr>
        <w:t>On average these perceptions do not change</w:t>
      </w:r>
      <w:r w:rsidR="00F6522E">
        <w:rPr>
          <w:rFonts w:asciiTheme="minorHAnsi" w:hAnsiTheme="minorHAnsi"/>
        </w:rPr>
        <w:t xml:space="preserve"> significantly</w:t>
      </w:r>
      <w:r>
        <w:rPr>
          <w:rFonts w:asciiTheme="minorHAnsi" w:hAnsiTheme="minorHAnsi"/>
        </w:rPr>
        <w:t xml:space="preserve"> from half to half</w:t>
      </w:r>
      <w:r w:rsidR="00FE46CF">
        <w:rPr>
          <w:rFonts w:asciiTheme="minorHAnsi" w:hAnsiTheme="minorHAnsi"/>
        </w:rPr>
        <w:t>, except for one of the probabilities in SEU and one of the probability bounds in AEU</w:t>
      </w:r>
      <w:r>
        <w:rPr>
          <w:rFonts w:asciiTheme="minorHAnsi" w:hAnsiTheme="minorHAnsi"/>
        </w:rPr>
        <w:t>; tests are given in Table A of the Web Appendix</w:t>
      </w:r>
      <w:r w:rsidR="00F6522E" w:rsidRPr="003C3E1C">
        <w:rPr>
          <w:rStyle w:val="FootnoteReference"/>
          <w:rFonts w:asciiTheme="minorHAnsi" w:hAnsiTheme="minorHAnsi"/>
        </w:rPr>
        <w:footnoteReference w:id="7"/>
      </w:r>
      <w:r w:rsidR="00F6522E" w:rsidRPr="003C3E1C">
        <w:rPr>
          <w:rFonts w:asciiTheme="minorHAnsi" w:hAnsiTheme="minorHAnsi"/>
        </w:rPr>
        <w:t>.</w:t>
      </w:r>
      <w:r w:rsidR="00F6522E">
        <w:rPr>
          <w:rFonts w:asciiTheme="minorHAnsi" w:hAnsiTheme="minorHAnsi"/>
        </w:rPr>
        <w:t xml:space="preserve"> As far as the risk-aversion parameter is concerned, again the </w:t>
      </w:r>
      <w:r w:rsidR="00A93E8D">
        <w:rPr>
          <w:rFonts w:asciiTheme="minorHAnsi" w:hAnsiTheme="minorHAnsi"/>
        </w:rPr>
        <w:t xml:space="preserve">on </w:t>
      </w:r>
      <w:r w:rsidR="00F6522E">
        <w:rPr>
          <w:rFonts w:asciiTheme="minorHAnsi" w:hAnsiTheme="minorHAnsi"/>
        </w:rPr>
        <w:t>avera</w:t>
      </w:r>
      <w:r w:rsidR="00A93E8D">
        <w:rPr>
          <w:rFonts w:asciiTheme="minorHAnsi" w:hAnsiTheme="minorHAnsi"/>
        </w:rPr>
        <w:t>ge it</w:t>
      </w:r>
      <w:r w:rsidR="00F6522E">
        <w:rPr>
          <w:rFonts w:asciiTheme="minorHAnsi" w:hAnsiTheme="minorHAnsi"/>
        </w:rPr>
        <w:t xml:space="preserve"> does not change significantly from half </w:t>
      </w:r>
      <w:bookmarkStart w:id="0" w:name="_GoBack"/>
      <w:bookmarkEnd w:id="0"/>
      <w:r w:rsidR="00F6522E">
        <w:rPr>
          <w:rFonts w:asciiTheme="minorHAnsi" w:hAnsiTheme="minorHAnsi"/>
        </w:rPr>
        <w:t>to half; Web Appendix Table B gives the details.</w:t>
      </w:r>
    </w:p>
    <w:p w:rsidR="003D51A2" w:rsidRDefault="00E42401" w:rsidP="003E31CC">
      <w:pPr>
        <w:spacing w:line="360" w:lineRule="auto"/>
        <w:jc w:val="both"/>
        <w:rPr>
          <w:rFonts w:asciiTheme="minorHAnsi" w:hAnsiTheme="minorHAnsi"/>
        </w:rPr>
      </w:pPr>
      <w:r>
        <w:rPr>
          <w:rFonts w:asciiTheme="minorHAnsi" w:hAnsiTheme="minorHAnsi"/>
        </w:rPr>
        <w:lastRenderedPageBreak/>
        <w:t xml:space="preserve">One interesting parameter remains: the </w:t>
      </w:r>
      <w:r>
        <w:rPr>
          <w:rFonts w:asciiTheme="minorHAnsi" w:hAnsiTheme="minorHAnsi"/>
          <w:i/>
        </w:rPr>
        <w:t xml:space="preserve">precision </w:t>
      </w:r>
      <w:r>
        <w:rPr>
          <w:rFonts w:asciiTheme="minorHAnsi" w:hAnsiTheme="minorHAnsi"/>
        </w:rPr>
        <w:t xml:space="preserve">parameter </w:t>
      </w:r>
      <w:r>
        <w:rPr>
          <w:rFonts w:asciiTheme="minorHAnsi" w:hAnsiTheme="minorHAnsi"/>
          <w:i/>
        </w:rPr>
        <w:t>s</w:t>
      </w:r>
      <w:r>
        <w:rPr>
          <w:rFonts w:asciiTheme="minorHAnsi" w:hAnsiTheme="minorHAnsi"/>
        </w:rPr>
        <w:t>. Here</w:t>
      </w:r>
      <w:r w:rsidR="00EE0ED1">
        <w:rPr>
          <w:rFonts w:asciiTheme="minorHAnsi" w:hAnsiTheme="minorHAnsi"/>
        </w:rPr>
        <w:t xml:space="preserve"> there </w:t>
      </w:r>
      <w:r w:rsidR="00EE0ED1" w:rsidRPr="00D23013">
        <w:rPr>
          <w:rFonts w:asciiTheme="minorHAnsi" w:hAnsiTheme="minorHAnsi"/>
          <w:i/>
        </w:rPr>
        <w:t>are</w:t>
      </w:r>
      <w:r w:rsidR="00EE0ED1">
        <w:rPr>
          <w:rFonts w:asciiTheme="minorHAnsi" w:hAnsiTheme="minorHAnsi"/>
        </w:rPr>
        <w:t xml:space="preserve"> differences in the average </w:t>
      </w:r>
      <w:r w:rsidR="00A93E8D">
        <w:rPr>
          <w:rFonts w:asciiTheme="minorHAnsi" w:hAnsiTheme="minorHAnsi"/>
        </w:rPr>
        <w:t>precision as t</w:t>
      </w:r>
      <w:r w:rsidR="003D51A2">
        <w:rPr>
          <w:rFonts w:asciiTheme="minorHAnsi" w:hAnsiTheme="minorHAnsi"/>
        </w:rPr>
        <w:t>he table below</w:t>
      </w:r>
      <w:r w:rsidR="00A93E8D">
        <w:rPr>
          <w:rFonts w:asciiTheme="minorHAnsi" w:hAnsiTheme="minorHAnsi"/>
        </w:rPr>
        <w:t xml:space="preserve"> shows: t</w:t>
      </w:r>
      <w:r w:rsidR="00837E40" w:rsidRPr="003C3E1C">
        <w:rPr>
          <w:rFonts w:asciiTheme="minorHAnsi" w:hAnsiTheme="minorHAnsi"/>
        </w:rPr>
        <w:t>he precision is significantly higher</w:t>
      </w:r>
      <w:r w:rsidR="00FC3375">
        <w:rPr>
          <w:rFonts w:asciiTheme="minorHAnsi" w:hAnsiTheme="minorHAnsi"/>
        </w:rPr>
        <w:t xml:space="preserve"> on average</w:t>
      </w:r>
      <w:r w:rsidR="00837E40" w:rsidRPr="003C3E1C">
        <w:rPr>
          <w:rFonts w:asciiTheme="minorHAnsi" w:hAnsiTheme="minorHAnsi"/>
        </w:rPr>
        <w:t xml:space="preserve"> in the second half of the experiment. </w:t>
      </w:r>
    </w:p>
    <w:p w:rsidR="00611293" w:rsidRDefault="00611293" w:rsidP="003E31CC">
      <w:pPr>
        <w:spacing w:line="360" w:lineRule="auto"/>
        <w:jc w:val="both"/>
        <w:rPr>
          <w:rFonts w:asciiTheme="minorHAnsi" w:hAnsiTheme="minorHAnsi"/>
        </w:rPr>
      </w:pPr>
    </w:p>
    <w:tbl>
      <w:tblPr>
        <w:tblStyle w:val="TableGrid"/>
        <w:tblW w:w="0" w:type="auto"/>
        <w:tblInd w:w="392" w:type="dxa"/>
        <w:tblLook w:val="04A0" w:firstRow="1" w:lastRow="0" w:firstColumn="1" w:lastColumn="0" w:noHBand="0" w:noVBand="1"/>
      </w:tblPr>
      <w:tblGrid>
        <w:gridCol w:w="1918"/>
        <w:gridCol w:w="1342"/>
        <w:gridCol w:w="1559"/>
        <w:gridCol w:w="2552"/>
      </w:tblGrid>
      <w:tr w:rsidR="003D51A2" w:rsidTr="00E12170">
        <w:tc>
          <w:tcPr>
            <w:tcW w:w="1918" w:type="dxa"/>
          </w:tcPr>
          <w:p w:rsidR="003D51A2" w:rsidRDefault="003D51A2" w:rsidP="003D51A2">
            <w:pPr>
              <w:jc w:val="center"/>
              <w:rPr>
                <w:rFonts w:asciiTheme="minorHAnsi" w:hAnsiTheme="minorHAnsi"/>
              </w:rPr>
            </w:pPr>
            <w:r>
              <w:rPr>
                <w:rFonts w:asciiTheme="minorHAnsi" w:hAnsiTheme="minorHAnsi"/>
              </w:rPr>
              <w:t>Average precision</w:t>
            </w:r>
          </w:p>
        </w:tc>
        <w:tc>
          <w:tcPr>
            <w:tcW w:w="1342" w:type="dxa"/>
          </w:tcPr>
          <w:p w:rsidR="003D51A2" w:rsidRDefault="003D51A2" w:rsidP="003D51A2">
            <w:pPr>
              <w:jc w:val="center"/>
              <w:rPr>
                <w:rFonts w:asciiTheme="minorHAnsi" w:hAnsiTheme="minorHAnsi"/>
              </w:rPr>
            </w:pPr>
            <w:r>
              <w:rPr>
                <w:rFonts w:asciiTheme="minorHAnsi" w:hAnsiTheme="minorHAnsi"/>
              </w:rPr>
              <w:t>First half</w:t>
            </w:r>
          </w:p>
        </w:tc>
        <w:tc>
          <w:tcPr>
            <w:tcW w:w="1559" w:type="dxa"/>
          </w:tcPr>
          <w:p w:rsidR="003D51A2" w:rsidRDefault="003D51A2" w:rsidP="003D51A2">
            <w:pPr>
              <w:jc w:val="center"/>
              <w:rPr>
                <w:rFonts w:asciiTheme="minorHAnsi" w:hAnsiTheme="minorHAnsi"/>
              </w:rPr>
            </w:pPr>
            <w:r>
              <w:rPr>
                <w:rFonts w:asciiTheme="minorHAnsi" w:hAnsiTheme="minorHAnsi"/>
              </w:rPr>
              <w:t>Second half</w:t>
            </w:r>
          </w:p>
        </w:tc>
        <w:tc>
          <w:tcPr>
            <w:tcW w:w="2552" w:type="dxa"/>
          </w:tcPr>
          <w:p w:rsidR="003D51A2" w:rsidRDefault="003D51A2" w:rsidP="003D51A2">
            <w:pPr>
              <w:jc w:val="center"/>
              <w:rPr>
                <w:rFonts w:asciiTheme="minorHAnsi" w:hAnsiTheme="minorHAnsi"/>
              </w:rPr>
            </w:pPr>
            <w:r>
              <w:rPr>
                <w:rFonts w:asciiTheme="minorHAnsi" w:hAnsiTheme="minorHAnsi"/>
              </w:rPr>
              <w:t>t-stat on the difference</w:t>
            </w:r>
          </w:p>
        </w:tc>
      </w:tr>
      <w:tr w:rsidR="003D51A2" w:rsidTr="00E12170">
        <w:tc>
          <w:tcPr>
            <w:tcW w:w="1918" w:type="dxa"/>
          </w:tcPr>
          <w:p w:rsidR="003D51A2" w:rsidRDefault="003D51A2" w:rsidP="003D51A2">
            <w:pPr>
              <w:jc w:val="center"/>
              <w:rPr>
                <w:rFonts w:asciiTheme="minorHAnsi" w:hAnsiTheme="minorHAnsi"/>
              </w:rPr>
            </w:pPr>
            <w:r>
              <w:rPr>
                <w:rFonts w:asciiTheme="minorHAnsi" w:hAnsiTheme="minorHAnsi"/>
              </w:rPr>
              <w:t>SEU</w:t>
            </w:r>
          </w:p>
        </w:tc>
        <w:tc>
          <w:tcPr>
            <w:tcW w:w="1342" w:type="dxa"/>
            <w:vAlign w:val="bottom"/>
          </w:tcPr>
          <w:p w:rsidR="003D51A2" w:rsidRPr="00644E25" w:rsidRDefault="003D51A2" w:rsidP="003D51A2">
            <w:pPr>
              <w:jc w:val="center"/>
              <w:rPr>
                <w:color w:val="000000"/>
                <w:sz w:val="24"/>
                <w:szCs w:val="24"/>
              </w:rPr>
            </w:pPr>
            <w:r>
              <w:rPr>
                <w:color w:val="000000"/>
                <w:sz w:val="24"/>
                <w:szCs w:val="24"/>
              </w:rPr>
              <w:t>21.89</w:t>
            </w:r>
          </w:p>
        </w:tc>
        <w:tc>
          <w:tcPr>
            <w:tcW w:w="1559" w:type="dxa"/>
            <w:vAlign w:val="bottom"/>
          </w:tcPr>
          <w:p w:rsidR="003D51A2" w:rsidRPr="00644E25" w:rsidRDefault="003D51A2" w:rsidP="003D51A2">
            <w:pPr>
              <w:jc w:val="center"/>
              <w:rPr>
                <w:color w:val="000000"/>
                <w:sz w:val="24"/>
                <w:szCs w:val="24"/>
              </w:rPr>
            </w:pPr>
            <w:r>
              <w:rPr>
                <w:color w:val="000000"/>
                <w:sz w:val="24"/>
                <w:szCs w:val="24"/>
              </w:rPr>
              <w:t>27.21</w:t>
            </w:r>
          </w:p>
        </w:tc>
        <w:tc>
          <w:tcPr>
            <w:tcW w:w="2552" w:type="dxa"/>
            <w:vAlign w:val="bottom"/>
          </w:tcPr>
          <w:p w:rsidR="003D51A2" w:rsidRPr="003D51A2" w:rsidRDefault="003D51A2" w:rsidP="003D51A2">
            <w:pPr>
              <w:jc w:val="center"/>
              <w:rPr>
                <w:color w:val="000000"/>
                <w:sz w:val="24"/>
                <w:szCs w:val="24"/>
              </w:rPr>
            </w:pPr>
            <w:r w:rsidRPr="003D51A2">
              <w:rPr>
                <w:color w:val="000000"/>
                <w:sz w:val="24"/>
                <w:szCs w:val="24"/>
              </w:rPr>
              <w:t>-3.59</w:t>
            </w:r>
          </w:p>
        </w:tc>
      </w:tr>
      <w:tr w:rsidR="003D51A2" w:rsidTr="00E12170">
        <w:tc>
          <w:tcPr>
            <w:tcW w:w="1918" w:type="dxa"/>
          </w:tcPr>
          <w:p w:rsidR="003D51A2" w:rsidRDefault="003D51A2" w:rsidP="003D51A2">
            <w:pPr>
              <w:jc w:val="center"/>
              <w:rPr>
                <w:rFonts w:asciiTheme="minorHAnsi" w:hAnsiTheme="minorHAnsi"/>
              </w:rPr>
            </w:pPr>
            <w:r>
              <w:rPr>
                <w:rFonts w:asciiTheme="minorHAnsi" w:hAnsiTheme="minorHAnsi"/>
              </w:rPr>
              <w:t>AEU</w:t>
            </w:r>
          </w:p>
        </w:tc>
        <w:tc>
          <w:tcPr>
            <w:tcW w:w="1342" w:type="dxa"/>
            <w:vAlign w:val="bottom"/>
          </w:tcPr>
          <w:p w:rsidR="003D51A2" w:rsidRPr="00644E25" w:rsidRDefault="003D51A2" w:rsidP="003D51A2">
            <w:pPr>
              <w:jc w:val="center"/>
              <w:rPr>
                <w:color w:val="000000"/>
                <w:sz w:val="24"/>
                <w:szCs w:val="24"/>
              </w:rPr>
            </w:pPr>
            <w:r>
              <w:rPr>
                <w:color w:val="000000"/>
                <w:sz w:val="24"/>
                <w:szCs w:val="24"/>
              </w:rPr>
              <w:t>26.04</w:t>
            </w:r>
          </w:p>
        </w:tc>
        <w:tc>
          <w:tcPr>
            <w:tcW w:w="1559" w:type="dxa"/>
            <w:vAlign w:val="bottom"/>
          </w:tcPr>
          <w:p w:rsidR="003D51A2" w:rsidRPr="00644E25" w:rsidRDefault="003D51A2" w:rsidP="003D51A2">
            <w:pPr>
              <w:jc w:val="center"/>
              <w:rPr>
                <w:color w:val="000000"/>
                <w:sz w:val="24"/>
                <w:szCs w:val="24"/>
              </w:rPr>
            </w:pPr>
            <w:r>
              <w:rPr>
                <w:color w:val="000000"/>
                <w:sz w:val="24"/>
                <w:szCs w:val="24"/>
              </w:rPr>
              <w:t>32.70</w:t>
            </w:r>
          </w:p>
        </w:tc>
        <w:tc>
          <w:tcPr>
            <w:tcW w:w="2552" w:type="dxa"/>
            <w:vAlign w:val="bottom"/>
          </w:tcPr>
          <w:p w:rsidR="003D51A2" w:rsidRPr="003D51A2" w:rsidRDefault="003D51A2" w:rsidP="003D51A2">
            <w:pPr>
              <w:jc w:val="center"/>
              <w:rPr>
                <w:color w:val="000000"/>
                <w:sz w:val="24"/>
                <w:szCs w:val="24"/>
              </w:rPr>
            </w:pPr>
            <w:r w:rsidRPr="003D51A2">
              <w:rPr>
                <w:color w:val="000000"/>
                <w:sz w:val="24"/>
                <w:szCs w:val="24"/>
              </w:rPr>
              <w:t>-3.30</w:t>
            </w:r>
          </w:p>
        </w:tc>
      </w:tr>
      <w:tr w:rsidR="003D51A2" w:rsidTr="00E12170">
        <w:tc>
          <w:tcPr>
            <w:tcW w:w="1918" w:type="dxa"/>
          </w:tcPr>
          <w:p w:rsidR="003D51A2" w:rsidRDefault="003D51A2" w:rsidP="003D51A2">
            <w:pPr>
              <w:jc w:val="center"/>
              <w:rPr>
                <w:rFonts w:asciiTheme="minorHAnsi" w:hAnsiTheme="minorHAnsi"/>
              </w:rPr>
            </w:pPr>
            <w:r>
              <w:rPr>
                <w:rFonts w:asciiTheme="minorHAnsi" w:hAnsiTheme="minorHAnsi"/>
              </w:rPr>
              <w:t>VEU</w:t>
            </w:r>
          </w:p>
        </w:tc>
        <w:tc>
          <w:tcPr>
            <w:tcW w:w="1342" w:type="dxa"/>
            <w:vAlign w:val="bottom"/>
          </w:tcPr>
          <w:p w:rsidR="003D51A2" w:rsidRPr="00644E25" w:rsidRDefault="003D51A2" w:rsidP="003D51A2">
            <w:pPr>
              <w:jc w:val="center"/>
              <w:rPr>
                <w:color w:val="000000"/>
                <w:sz w:val="24"/>
                <w:szCs w:val="24"/>
              </w:rPr>
            </w:pPr>
            <w:r>
              <w:rPr>
                <w:color w:val="000000"/>
                <w:sz w:val="24"/>
                <w:szCs w:val="24"/>
              </w:rPr>
              <w:t>25.27</w:t>
            </w:r>
          </w:p>
        </w:tc>
        <w:tc>
          <w:tcPr>
            <w:tcW w:w="1559" w:type="dxa"/>
            <w:vAlign w:val="bottom"/>
          </w:tcPr>
          <w:p w:rsidR="003D51A2" w:rsidRPr="00644E25" w:rsidRDefault="003D51A2" w:rsidP="003D51A2">
            <w:pPr>
              <w:jc w:val="center"/>
              <w:rPr>
                <w:color w:val="000000"/>
                <w:sz w:val="24"/>
                <w:szCs w:val="24"/>
              </w:rPr>
            </w:pPr>
            <w:r>
              <w:rPr>
                <w:color w:val="000000"/>
                <w:sz w:val="24"/>
                <w:szCs w:val="24"/>
              </w:rPr>
              <w:t>32.09</w:t>
            </w:r>
          </w:p>
        </w:tc>
        <w:tc>
          <w:tcPr>
            <w:tcW w:w="2552" w:type="dxa"/>
            <w:vAlign w:val="bottom"/>
          </w:tcPr>
          <w:p w:rsidR="003D51A2" w:rsidRPr="003D51A2" w:rsidRDefault="003D51A2" w:rsidP="003D51A2">
            <w:pPr>
              <w:jc w:val="center"/>
              <w:rPr>
                <w:color w:val="000000"/>
                <w:sz w:val="24"/>
                <w:szCs w:val="24"/>
              </w:rPr>
            </w:pPr>
            <w:r w:rsidRPr="003D51A2">
              <w:rPr>
                <w:color w:val="000000"/>
                <w:sz w:val="24"/>
                <w:szCs w:val="24"/>
              </w:rPr>
              <w:t>-3.41</w:t>
            </w:r>
          </w:p>
        </w:tc>
      </w:tr>
    </w:tbl>
    <w:p w:rsidR="003D51A2" w:rsidRDefault="003D51A2" w:rsidP="003E31CC">
      <w:pPr>
        <w:spacing w:line="360" w:lineRule="auto"/>
        <w:jc w:val="both"/>
        <w:rPr>
          <w:rFonts w:asciiTheme="minorHAnsi" w:hAnsiTheme="minorHAnsi"/>
        </w:rPr>
      </w:pPr>
    </w:p>
    <w:p w:rsidR="00837E40" w:rsidRDefault="00837E40" w:rsidP="003E31CC">
      <w:pPr>
        <w:spacing w:line="360" w:lineRule="auto"/>
        <w:jc w:val="both"/>
        <w:rPr>
          <w:rFonts w:asciiTheme="minorHAnsi" w:hAnsiTheme="minorHAnsi"/>
        </w:rPr>
      </w:pPr>
      <w:r w:rsidRPr="003C3E1C">
        <w:rPr>
          <w:rFonts w:asciiTheme="minorHAnsi" w:hAnsiTheme="minorHAnsi"/>
        </w:rPr>
        <w:t xml:space="preserve">Taken together with the previous results, it tells us that, given the preference functional, preferences </w:t>
      </w:r>
      <w:r w:rsidR="00EE0ED1">
        <w:rPr>
          <w:rFonts w:asciiTheme="minorHAnsi" w:hAnsiTheme="minorHAnsi"/>
        </w:rPr>
        <w:t xml:space="preserve">on average </w:t>
      </w:r>
      <w:r w:rsidRPr="003C3E1C">
        <w:rPr>
          <w:rFonts w:asciiTheme="minorHAnsi" w:hAnsiTheme="minorHAnsi"/>
        </w:rPr>
        <w:t xml:space="preserve">do </w:t>
      </w:r>
      <w:r w:rsidRPr="003C3E1C">
        <w:rPr>
          <w:rFonts w:asciiTheme="minorHAnsi" w:hAnsiTheme="minorHAnsi"/>
          <w:i/>
        </w:rPr>
        <w:t xml:space="preserve">not </w:t>
      </w:r>
      <w:r w:rsidRPr="003C3E1C">
        <w:rPr>
          <w:rFonts w:asciiTheme="minorHAnsi" w:hAnsiTheme="minorHAnsi"/>
        </w:rPr>
        <w:t>change during the experiment, and that s</w:t>
      </w:r>
      <w:r w:rsidR="00FC3375">
        <w:rPr>
          <w:rFonts w:asciiTheme="minorHAnsi" w:hAnsiTheme="minorHAnsi"/>
        </w:rPr>
        <w:t>ubjec</w:t>
      </w:r>
      <w:r w:rsidR="00EE0ED1">
        <w:rPr>
          <w:rFonts w:asciiTheme="minorHAnsi" w:hAnsiTheme="minorHAnsi"/>
        </w:rPr>
        <w:t>ts do not get noisier</w:t>
      </w:r>
      <w:r w:rsidRPr="003C3E1C">
        <w:rPr>
          <w:rFonts w:asciiTheme="minorHAnsi" w:hAnsiTheme="minorHAnsi"/>
        </w:rPr>
        <w:t xml:space="preserve"> as the experiment proceeds: on</w:t>
      </w:r>
      <w:r w:rsidR="00FE061C">
        <w:rPr>
          <w:rFonts w:asciiTheme="minorHAnsi" w:hAnsiTheme="minorHAnsi"/>
        </w:rPr>
        <w:t xml:space="preserve"> the contrary they express their </w:t>
      </w:r>
      <w:r w:rsidRPr="003C3E1C">
        <w:rPr>
          <w:rFonts w:asciiTheme="minorHAnsi" w:hAnsiTheme="minorHAnsi"/>
        </w:rPr>
        <w:t>preference</w:t>
      </w:r>
      <w:r w:rsidR="00FC56C5">
        <w:rPr>
          <w:rFonts w:asciiTheme="minorHAnsi" w:hAnsiTheme="minorHAnsi"/>
        </w:rPr>
        <w:t>s more precisely.</w:t>
      </w:r>
    </w:p>
    <w:p w:rsidR="00EE0ED1" w:rsidRPr="00EE0ED1" w:rsidRDefault="00EE0ED1" w:rsidP="00241705">
      <w:pPr>
        <w:spacing w:line="360" w:lineRule="auto"/>
        <w:jc w:val="both"/>
        <w:rPr>
          <w:rFonts w:asciiTheme="minorHAnsi" w:hAnsiTheme="minorHAnsi"/>
        </w:rPr>
      </w:pPr>
    </w:p>
    <w:p w:rsidR="00837E40" w:rsidRPr="003C3E1C" w:rsidRDefault="00E97AB0" w:rsidP="00B90D03">
      <w:pPr>
        <w:spacing w:line="360" w:lineRule="auto"/>
        <w:jc w:val="both"/>
        <w:rPr>
          <w:rFonts w:asciiTheme="minorHAnsi" w:hAnsiTheme="minorHAnsi"/>
          <w:bCs/>
        </w:rPr>
      </w:pPr>
      <w:r w:rsidRPr="003C3E1C">
        <w:rPr>
          <w:rFonts w:asciiTheme="minorHAnsi" w:hAnsiTheme="minorHAnsi"/>
          <w:b/>
          <w:bCs/>
        </w:rPr>
        <w:t>Conclusions</w:t>
      </w:r>
    </w:p>
    <w:p w:rsidR="00E97AB0" w:rsidRPr="00241705" w:rsidRDefault="00241705" w:rsidP="00B90D03">
      <w:pPr>
        <w:spacing w:line="360" w:lineRule="auto"/>
        <w:jc w:val="both"/>
        <w:rPr>
          <w:rFonts w:asciiTheme="minorHAnsi" w:hAnsiTheme="minorHAnsi"/>
          <w:bCs/>
        </w:rPr>
      </w:pPr>
      <w:r>
        <w:rPr>
          <w:rFonts w:asciiTheme="minorHAnsi" w:hAnsiTheme="minorHAnsi"/>
          <w:bCs/>
        </w:rPr>
        <w:t xml:space="preserve">Our results tell us that, while there may be changes at the individual level during the experiment, the </w:t>
      </w:r>
      <w:r>
        <w:rPr>
          <w:rFonts w:asciiTheme="minorHAnsi" w:hAnsiTheme="minorHAnsi"/>
          <w:bCs/>
          <w:i/>
        </w:rPr>
        <w:t xml:space="preserve">average </w:t>
      </w:r>
      <w:r>
        <w:rPr>
          <w:rFonts w:asciiTheme="minorHAnsi" w:hAnsiTheme="minorHAnsi"/>
          <w:bCs/>
        </w:rPr>
        <w:t>findings are robust.</w:t>
      </w:r>
      <w:r w:rsidR="00FE061C">
        <w:rPr>
          <w:rFonts w:asciiTheme="minorHAnsi" w:hAnsiTheme="minorHAnsi"/>
          <w:bCs/>
        </w:rPr>
        <w:t xml:space="preserve"> This is one reason why experiments should use a ‘large’ number of subjects.</w:t>
      </w:r>
      <w:r>
        <w:rPr>
          <w:rFonts w:asciiTheme="minorHAnsi" w:hAnsiTheme="minorHAnsi"/>
          <w:bCs/>
        </w:rPr>
        <w:t xml:space="preserve"> More importantly perhaps</w:t>
      </w:r>
      <w:r w:rsidR="00992341">
        <w:rPr>
          <w:rFonts w:asciiTheme="minorHAnsi" w:hAnsiTheme="minorHAnsi"/>
          <w:bCs/>
        </w:rPr>
        <w:t>,</w:t>
      </w:r>
      <w:r>
        <w:rPr>
          <w:rFonts w:asciiTheme="minorHAnsi" w:hAnsiTheme="minorHAnsi"/>
          <w:bCs/>
        </w:rPr>
        <w:t xml:space="preserve"> the precision with which preferences are expressed rises during the experiment.</w:t>
      </w:r>
      <w:r w:rsidR="00992341">
        <w:rPr>
          <w:rFonts w:asciiTheme="minorHAnsi" w:hAnsiTheme="minorHAnsi"/>
          <w:bCs/>
        </w:rPr>
        <w:t xml:space="preserve"> </w:t>
      </w:r>
      <w:r w:rsidR="00FE061C">
        <w:rPr>
          <w:rFonts w:asciiTheme="minorHAnsi" w:hAnsiTheme="minorHAnsi"/>
          <w:bCs/>
        </w:rPr>
        <w:t>Nevertheless, there is noise in subjects’ behaviour, so there remains the need for a ‘large’ number of questions.</w:t>
      </w:r>
    </w:p>
    <w:p w:rsidR="00837E40" w:rsidRPr="003C3E1C" w:rsidRDefault="00837E40" w:rsidP="00416AB7">
      <w:pPr>
        <w:spacing w:line="360" w:lineRule="auto"/>
        <w:jc w:val="both"/>
        <w:rPr>
          <w:rFonts w:asciiTheme="minorHAnsi" w:hAnsiTheme="minorHAnsi"/>
          <w:b/>
        </w:rPr>
      </w:pPr>
    </w:p>
    <w:p w:rsidR="00837E40" w:rsidRPr="003C3E1C" w:rsidRDefault="00837E40" w:rsidP="00416AB7">
      <w:pPr>
        <w:spacing w:line="360" w:lineRule="auto"/>
        <w:jc w:val="both"/>
        <w:rPr>
          <w:rFonts w:asciiTheme="minorHAnsi" w:hAnsiTheme="minorHAnsi"/>
        </w:rPr>
      </w:pPr>
      <w:r w:rsidRPr="003C3E1C">
        <w:rPr>
          <w:rFonts w:asciiTheme="minorHAnsi" w:hAnsiTheme="minorHAnsi"/>
          <w:b/>
        </w:rPr>
        <w:t>References</w:t>
      </w:r>
    </w:p>
    <w:p w:rsidR="00837E40" w:rsidRPr="003C3E1C" w:rsidRDefault="00837E40" w:rsidP="007F1B5E">
      <w:pPr>
        <w:spacing w:line="360" w:lineRule="auto"/>
        <w:jc w:val="both"/>
        <w:rPr>
          <w:rFonts w:asciiTheme="minorHAnsi" w:hAnsiTheme="minorHAnsi"/>
          <w:bCs/>
        </w:rPr>
      </w:pPr>
      <w:r w:rsidRPr="003C3E1C">
        <w:rPr>
          <w:rFonts w:asciiTheme="minorHAnsi" w:hAnsiTheme="minorHAnsi"/>
          <w:bCs/>
        </w:rPr>
        <w:t>Etner, J, Jeleva, M, and Tallon J M, 2012, Decision Theory under Ambiguity</w:t>
      </w:r>
      <w:r w:rsidRPr="003C3E1C">
        <w:rPr>
          <w:rFonts w:asciiTheme="minorHAnsi" w:hAnsiTheme="minorHAnsi"/>
          <w:bCs/>
          <w:i/>
        </w:rPr>
        <w:t>, Journal of Economic Surveys</w:t>
      </w:r>
      <w:r w:rsidRPr="003C3E1C">
        <w:rPr>
          <w:rFonts w:asciiTheme="minorHAnsi" w:hAnsiTheme="minorHAnsi"/>
          <w:bCs/>
        </w:rPr>
        <w:t>, 26, 2: 234-270.</w:t>
      </w:r>
    </w:p>
    <w:p w:rsidR="00837E40" w:rsidRPr="003C3E1C" w:rsidRDefault="00837E40" w:rsidP="007F1B5E">
      <w:pPr>
        <w:spacing w:line="360" w:lineRule="auto"/>
        <w:jc w:val="both"/>
        <w:rPr>
          <w:rFonts w:asciiTheme="minorHAnsi" w:hAnsiTheme="minorHAnsi" w:cs="Calibri"/>
          <w:bCs/>
          <w:lang w:val="it-IT"/>
        </w:rPr>
      </w:pPr>
      <w:r w:rsidRPr="003C3E1C">
        <w:rPr>
          <w:rFonts w:asciiTheme="minorHAnsi" w:hAnsiTheme="minorHAnsi"/>
          <w:bCs/>
          <w:lang w:val="it-IT"/>
        </w:rPr>
        <w:t xml:space="preserve">Ghirardato, P., Maccheroni F., and Marinacci M, 2004, </w:t>
      </w:r>
      <w:r w:rsidRPr="003C3E1C">
        <w:rPr>
          <w:rFonts w:asciiTheme="minorHAnsi" w:hAnsiTheme="minorHAnsi" w:cs="Calibri"/>
          <w:bCs/>
        </w:rPr>
        <w:t>“</w:t>
      </w:r>
      <w:r w:rsidR="00213E99" w:rsidRPr="003C3E1C">
        <w:rPr>
          <w:rFonts w:asciiTheme="minorHAnsi" w:hAnsiTheme="minorHAnsi" w:cs="Calibri"/>
          <w:bCs/>
          <w:lang w:val="it-IT"/>
        </w:rPr>
        <w:t xml:space="preserve">Differentiating Ambiguity </w:t>
      </w:r>
      <w:r w:rsidRPr="003C3E1C">
        <w:rPr>
          <w:rFonts w:asciiTheme="minorHAnsi" w:hAnsiTheme="minorHAnsi"/>
          <w:bCs/>
        </w:rPr>
        <w:t>and Ambiguity Attitude</w:t>
      </w:r>
      <w:r w:rsidRPr="003C3E1C">
        <w:rPr>
          <w:rFonts w:asciiTheme="minorHAnsi" w:hAnsiTheme="minorHAnsi" w:cs="Calibri"/>
          <w:bCs/>
        </w:rPr>
        <w:t xml:space="preserve">, </w:t>
      </w:r>
      <w:r w:rsidRPr="003C3E1C">
        <w:rPr>
          <w:rFonts w:asciiTheme="minorHAnsi" w:hAnsiTheme="minorHAnsi" w:cs="Calibri"/>
          <w:bCs/>
          <w:i/>
        </w:rPr>
        <w:t>Journal of Economic Theory</w:t>
      </w:r>
      <w:r w:rsidRPr="003C3E1C">
        <w:rPr>
          <w:rFonts w:asciiTheme="minorHAnsi" w:hAnsiTheme="minorHAnsi" w:cs="Calibri"/>
          <w:bCs/>
        </w:rPr>
        <w:t>, 118, 2, 133-173.</w:t>
      </w:r>
    </w:p>
    <w:p w:rsidR="00837E40" w:rsidRPr="0037408F" w:rsidRDefault="007F1B5E" w:rsidP="007F1B5E">
      <w:pPr>
        <w:spacing w:line="360" w:lineRule="auto"/>
        <w:jc w:val="both"/>
        <w:rPr>
          <w:rFonts w:asciiTheme="minorHAnsi" w:hAnsiTheme="minorHAnsi"/>
          <w:bCs/>
        </w:rPr>
      </w:pPr>
      <w:r w:rsidRPr="003C3E1C">
        <w:rPr>
          <w:rFonts w:asciiTheme="minorHAnsi" w:hAnsiTheme="minorHAnsi"/>
          <w:bCs/>
        </w:rPr>
        <w:t>Hey, J D,</w:t>
      </w:r>
      <w:r w:rsidR="0037408F">
        <w:rPr>
          <w:rFonts w:asciiTheme="minorHAnsi" w:hAnsiTheme="minorHAnsi"/>
          <w:bCs/>
        </w:rPr>
        <w:t xml:space="preserve"> and Pace, N, 2014</w:t>
      </w:r>
      <w:r w:rsidR="00837E40" w:rsidRPr="003C3E1C">
        <w:rPr>
          <w:rFonts w:asciiTheme="minorHAnsi" w:hAnsiTheme="minorHAnsi"/>
          <w:bCs/>
        </w:rPr>
        <w:t xml:space="preserve">, “The Explanatory and Predictive Power of Non Two-Stage-Probability Theories of Decision Making </w:t>
      </w:r>
      <w:proofErr w:type="gramStart"/>
      <w:r w:rsidR="00837E40" w:rsidRPr="003C3E1C">
        <w:rPr>
          <w:rFonts w:asciiTheme="minorHAnsi" w:hAnsiTheme="minorHAnsi"/>
          <w:bCs/>
        </w:rPr>
        <w:t>Under</w:t>
      </w:r>
      <w:proofErr w:type="gramEnd"/>
      <w:r w:rsidR="00837E40" w:rsidRPr="003C3E1C">
        <w:rPr>
          <w:rFonts w:asciiTheme="minorHAnsi" w:hAnsiTheme="minorHAnsi"/>
          <w:bCs/>
        </w:rPr>
        <w:t xml:space="preserve"> Ambiguity”, </w:t>
      </w:r>
      <w:r w:rsidR="0037408F">
        <w:rPr>
          <w:rFonts w:asciiTheme="minorHAnsi" w:hAnsiTheme="minorHAnsi"/>
          <w:bCs/>
        </w:rPr>
        <w:t xml:space="preserve">forthcoming </w:t>
      </w:r>
      <w:r w:rsidR="0037408F">
        <w:rPr>
          <w:rFonts w:asciiTheme="minorHAnsi" w:hAnsiTheme="minorHAnsi"/>
          <w:bCs/>
          <w:i/>
        </w:rPr>
        <w:t xml:space="preserve">Journal of Risk and Uncertainty. </w:t>
      </w:r>
      <w:r w:rsidR="00981ABE">
        <w:rPr>
          <w:rFonts w:asciiTheme="minorHAnsi" w:hAnsiTheme="minorHAnsi"/>
          <w:bCs/>
        </w:rPr>
        <w:t>A</w:t>
      </w:r>
      <w:r w:rsidR="0037408F">
        <w:rPr>
          <w:rFonts w:asciiTheme="minorHAnsi" w:hAnsiTheme="minorHAnsi"/>
          <w:bCs/>
        </w:rPr>
        <w:t xml:space="preserve"> version is available at the EXEC website.</w:t>
      </w:r>
    </w:p>
    <w:p w:rsidR="00837E40" w:rsidRPr="003C3E1C" w:rsidRDefault="00837E40" w:rsidP="007F1B5E">
      <w:pPr>
        <w:spacing w:line="360" w:lineRule="auto"/>
        <w:jc w:val="both"/>
        <w:rPr>
          <w:rFonts w:asciiTheme="minorHAnsi" w:hAnsiTheme="minorHAnsi" w:cs="Calibri"/>
          <w:bCs/>
        </w:rPr>
      </w:pPr>
      <w:proofErr w:type="spellStart"/>
      <w:r w:rsidRPr="003C3E1C">
        <w:rPr>
          <w:rFonts w:asciiTheme="minorHAnsi" w:hAnsiTheme="minorHAnsi"/>
          <w:bCs/>
        </w:rPr>
        <w:t>Siniscalchi</w:t>
      </w:r>
      <w:proofErr w:type="spellEnd"/>
      <w:r w:rsidRPr="003C3E1C">
        <w:rPr>
          <w:rFonts w:asciiTheme="minorHAnsi" w:hAnsiTheme="minorHAnsi"/>
          <w:bCs/>
        </w:rPr>
        <w:t xml:space="preserve">, M, 2009, </w:t>
      </w:r>
      <w:r w:rsidRPr="003C3E1C">
        <w:rPr>
          <w:rFonts w:asciiTheme="minorHAnsi" w:hAnsiTheme="minorHAnsi" w:cs="Calibri"/>
          <w:bCs/>
        </w:rPr>
        <w:t xml:space="preserve">Vector Expected Utility and Attitudes </w:t>
      </w:r>
      <w:proofErr w:type="gramStart"/>
      <w:r w:rsidRPr="003C3E1C">
        <w:rPr>
          <w:rFonts w:asciiTheme="minorHAnsi" w:hAnsiTheme="minorHAnsi" w:cs="Calibri"/>
          <w:bCs/>
        </w:rPr>
        <w:t>Toward</w:t>
      </w:r>
      <w:proofErr w:type="gramEnd"/>
      <w:r w:rsidRPr="003C3E1C">
        <w:rPr>
          <w:rFonts w:asciiTheme="minorHAnsi" w:hAnsiTheme="minorHAnsi" w:cs="Calibri"/>
          <w:bCs/>
        </w:rPr>
        <w:t xml:space="preserve"> Variation</w:t>
      </w:r>
      <w:r w:rsidR="00213E99" w:rsidRPr="003C3E1C">
        <w:rPr>
          <w:rFonts w:asciiTheme="minorHAnsi" w:hAnsiTheme="minorHAnsi" w:cs="Calibri"/>
          <w:bCs/>
        </w:rPr>
        <w:t xml:space="preserve">, </w:t>
      </w:r>
      <w:r w:rsidRPr="003C3E1C">
        <w:rPr>
          <w:rFonts w:asciiTheme="minorHAnsi" w:hAnsiTheme="minorHAnsi"/>
          <w:bCs/>
          <w:i/>
        </w:rPr>
        <w:t>Econometrica</w:t>
      </w:r>
      <w:r w:rsidRPr="003C3E1C">
        <w:rPr>
          <w:rFonts w:asciiTheme="minorHAnsi" w:hAnsiTheme="minorHAnsi"/>
          <w:bCs/>
        </w:rPr>
        <w:t>, 77, 3, 801-855.</w:t>
      </w:r>
    </w:p>
    <w:sectPr w:rsidR="00837E40" w:rsidRPr="003C3E1C" w:rsidSect="00D7205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CB9" w:rsidRDefault="00900CB9" w:rsidP="0035033F">
      <w:r>
        <w:separator/>
      </w:r>
    </w:p>
  </w:endnote>
  <w:endnote w:type="continuationSeparator" w:id="0">
    <w:p w:rsidR="00900CB9" w:rsidRDefault="00900CB9" w:rsidP="0035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794833"/>
      <w:docPartObj>
        <w:docPartGallery w:val="Page Numbers (Bottom of Page)"/>
        <w:docPartUnique/>
      </w:docPartObj>
    </w:sdtPr>
    <w:sdtEndPr>
      <w:rPr>
        <w:noProof/>
      </w:rPr>
    </w:sdtEndPr>
    <w:sdtContent>
      <w:p w:rsidR="00D25B17" w:rsidRDefault="00D25B17">
        <w:pPr>
          <w:pStyle w:val="Footer"/>
          <w:jc w:val="right"/>
        </w:pPr>
        <w:r>
          <w:fldChar w:fldCharType="begin"/>
        </w:r>
        <w:r>
          <w:instrText xml:space="preserve"> PAGE   \* MERGEFORMAT </w:instrText>
        </w:r>
        <w:r>
          <w:fldChar w:fldCharType="separate"/>
        </w:r>
        <w:r w:rsidR="00FE46CF">
          <w:rPr>
            <w:noProof/>
          </w:rPr>
          <w:t>4</w:t>
        </w:r>
        <w:r>
          <w:rPr>
            <w:noProof/>
          </w:rPr>
          <w:fldChar w:fldCharType="end"/>
        </w:r>
      </w:p>
    </w:sdtContent>
  </w:sdt>
  <w:p w:rsidR="00D25B17" w:rsidRDefault="00D2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CB9" w:rsidRDefault="00900CB9" w:rsidP="0035033F">
      <w:r>
        <w:separator/>
      </w:r>
    </w:p>
  </w:footnote>
  <w:footnote w:type="continuationSeparator" w:id="0">
    <w:p w:rsidR="00900CB9" w:rsidRDefault="00900CB9" w:rsidP="0035033F">
      <w:r>
        <w:continuationSeparator/>
      </w:r>
    </w:p>
  </w:footnote>
  <w:footnote w:id="1">
    <w:p w:rsidR="00D25B17" w:rsidRPr="0037408F" w:rsidRDefault="00D25B17">
      <w:pPr>
        <w:pStyle w:val="FootnoteText"/>
      </w:pPr>
      <w:r>
        <w:rPr>
          <w:rStyle w:val="FootnoteReference"/>
        </w:rPr>
        <w:footnoteRef/>
      </w:r>
      <w:r>
        <w:t xml:space="preserve"> For a survey of such models see Etner </w:t>
      </w:r>
      <w:r>
        <w:rPr>
          <w:i/>
        </w:rPr>
        <w:t xml:space="preserve">et al </w:t>
      </w:r>
      <w:r>
        <w:t>(2012).</w:t>
      </w:r>
    </w:p>
  </w:footnote>
  <w:footnote w:id="2">
    <w:p w:rsidR="003076E8" w:rsidRPr="0037408F" w:rsidRDefault="003076E8" w:rsidP="003076E8">
      <w:pPr>
        <w:pStyle w:val="FootnoteText"/>
        <w:jc w:val="both"/>
      </w:pPr>
      <w:r>
        <w:rPr>
          <w:rStyle w:val="FootnoteReference"/>
        </w:rPr>
        <w:footnoteRef/>
      </w:r>
      <w:r>
        <w:t xml:space="preserve"> For details of AEU and VEU </w:t>
      </w:r>
      <w:r w:rsidRPr="0037408F">
        <w:t xml:space="preserve">see </w:t>
      </w:r>
      <w:proofErr w:type="spellStart"/>
      <w:r w:rsidRPr="0037408F">
        <w:rPr>
          <w:rFonts w:asciiTheme="minorHAnsi" w:hAnsiTheme="minorHAnsi"/>
        </w:rPr>
        <w:t>Ghirardato</w:t>
      </w:r>
      <w:proofErr w:type="spellEnd"/>
      <w:r w:rsidRPr="0037408F">
        <w:rPr>
          <w:rFonts w:asciiTheme="minorHAnsi" w:hAnsiTheme="minorHAnsi"/>
        </w:rPr>
        <w:t xml:space="preserve">, </w:t>
      </w:r>
      <w:proofErr w:type="spellStart"/>
      <w:r w:rsidRPr="0037408F">
        <w:rPr>
          <w:rFonts w:asciiTheme="minorHAnsi" w:hAnsiTheme="minorHAnsi"/>
        </w:rPr>
        <w:t>Maccheroni</w:t>
      </w:r>
      <w:proofErr w:type="spellEnd"/>
      <w:r w:rsidRPr="0037408F">
        <w:rPr>
          <w:rFonts w:asciiTheme="minorHAnsi" w:hAnsiTheme="minorHAnsi"/>
        </w:rPr>
        <w:t xml:space="preserve"> and Marinacci (2004) and </w:t>
      </w:r>
      <w:proofErr w:type="spellStart"/>
      <w:r w:rsidRPr="0037408F">
        <w:rPr>
          <w:rFonts w:asciiTheme="minorHAnsi" w:hAnsiTheme="minorHAnsi"/>
        </w:rPr>
        <w:t>Siniscalchi</w:t>
      </w:r>
      <w:proofErr w:type="spellEnd"/>
      <w:r w:rsidRPr="0037408F">
        <w:rPr>
          <w:rFonts w:asciiTheme="minorHAnsi" w:hAnsiTheme="minorHAnsi"/>
        </w:rPr>
        <w:t xml:space="preserve"> (2009)</w:t>
      </w:r>
      <w:r>
        <w:rPr>
          <w:rFonts w:asciiTheme="minorHAnsi" w:hAnsiTheme="minorHAnsi"/>
        </w:rPr>
        <w:t xml:space="preserve"> </w:t>
      </w:r>
      <w:r w:rsidRPr="0037408F">
        <w:rPr>
          <w:rFonts w:asciiTheme="minorHAnsi" w:hAnsiTheme="minorHAnsi"/>
        </w:rPr>
        <w:t>respectively.</w:t>
      </w:r>
    </w:p>
  </w:footnote>
  <w:footnote w:id="3">
    <w:p w:rsidR="00556265" w:rsidRDefault="00556265" w:rsidP="00556265">
      <w:pPr>
        <w:pStyle w:val="FootnoteText"/>
        <w:jc w:val="both"/>
      </w:pPr>
      <w:r>
        <w:rPr>
          <w:rStyle w:val="FootnoteReference"/>
        </w:rPr>
        <w:footnoteRef/>
      </w:r>
      <w:r>
        <w:t xml:space="preserve"> We actually investigated three specifications – CARA with Fechner error, CRRA with Fechner error and CRRA with Beta distributed errors - but the details need not concern us here. Suffice it to say that the one reported here, CRRA with Beta distributed errors, was the best-fitting one.</w:t>
      </w:r>
    </w:p>
  </w:footnote>
  <w:footnote w:id="4">
    <w:p w:rsidR="00D25B17" w:rsidRDefault="00D25B17" w:rsidP="00973BE6">
      <w:pPr>
        <w:pStyle w:val="FootnoteText"/>
        <w:jc w:val="both"/>
      </w:pPr>
      <w:r>
        <w:rPr>
          <w:rStyle w:val="FootnoteReference"/>
        </w:rPr>
        <w:footnoteRef/>
      </w:r>
      <w:r>
        <w:t xml:space="preserve"> This is a container with glass walls in </w:t>
      </w:r>
      <w:r w:rsidR="00E16F7E">
        <w:t>which a number of</w:t>
      </w:r>
      <w:r>
        <w:t xml:space="preserve"> balls are blown around by a jet of air. Subjects can see the balls but cannot count them (unless the total number of balls is small), but can get a rough idea of the relative proportions of the different colours. Videos of the Bingo Blower can be seen using the </w:t>
      </w:r>
      <w:r w:rsidRPr="00385F08">
        <w:rPr>
          <w:i/>
        </w:rPr>
        <w:t>Ambiguity</w:t>
      </w:r>
      <w:r>
        <w:t xml:space="preserve"> tab on the </w:t>
      </w:r>
      <w:hyperlink r:id="rId1" w:anchor="tab-3" w:history="1">
        <w:r w:rsidRPr="00973BE6">
          <w:rPr>
            <w:rStyle w:val="Hyperlink"/>
          </w:rPr>
          <w:t>ongoing projects</w:t>
        </w:r>
      </w:hyperlink>
      <w:r>
        <w:t xml:space="preserve"> page of the </w:t>
      </w:r>
      <w:hyperlink r:id="rId2" w:history="1">
        <w:r w:rsidRPr="00973BE6">
          <w:rPr>
            <w:rStyle w:val="Hyperlink"/>
          </w:rPr>
          <w:t>EXEC website</w:t>
        </w:r>
      </w:hyperlink>
      <w:r>
        <w:t>. At the end of the experiment, subjects individually ejected a ball by moving the tube in the Blower.</w:t>
      </w:r>
    </w:p>
  </w:footnote>
  <w:footnote w:id="5">
    <w:p w:rsidR="00D25B17" w:rsidRDefault="00D25B17">
      <w:pPr>
        <w:pStyle w:val="FootnoteText"/>
      </w:pPr>
      <w:r>
        <w:rPr>
          <w:rStyle w:val="FootnoteReference"/>
        </w:rPr>
        <w:footnoteRef/>
      </w:r>
      <w:r>
        <w:t xml:space="preserve"> These exchange rates varied between the colours and between problems, thus giving us data which could be used to infer the preferences of the subjects.</w:t>
      </w:r>
    </w:p>
  </w:footnote>
  <w:footnote w:id="6">
    <w:p w:rsidR="00D23013" w:rsidRPr="00D23013" w:rsidRDefault="00D23013">
      <w:pPr>
        <w:pStyle w:val="FootnoteText"/>
      </w:pPr>
      <w:r>
        <w:rPr>
          <w:rStyle w:val="FootnoteReference"/>
        </w:rPr>
        <w:footnoteRef/>
      </w:r>
      <w:r>
        <w:t xml:space="preserve"> This is given by </w:t>
      </w:r>
      <w:proofErr w:type="spellStart"/>
      <w:proofErr w:type="gramStart"/>
      <w:r>
        <w:rPr>
          <w:i/>
        </w:rPr>
        <w:t>klog</w:t>
      </w:r>
      <w:proofErr w:type="spellEnd"/>
      <w:r>
        <w:rPr>
          <w:i/>
        </w:rPr>
        <w:t>(</w:t>
      </w:r>
      <w:proofErr w:type="gramEnd"/>
      <w:r>
        <w:rPr>
          <w:i/>
        </w:rPr>
        <w:t xml:space="preserve">n) – 2LL </w:t>
      </w:r>
      <w:r>
        <w:t xml:space="preserve">where </w:t>
      </w:r>
      <w:r>
        <w:rPr>
          <w:i/>
        </w:rPr>
        <w:t xml:space="preserve">k </w:t>
      </w:r>
      <w:r>
        <w:t xml:space="preserve">is the number of estimated parameters, </w:t>
      </w:r>
      <w:proofErr w:type="spellStart"/>
      <w:r>
        <w:rPr>
          <w:i/>
        </w:rPr>
        <w:t>n</w:t>
      </w:r>
      <w:proofErr w:type="spellEnd"/>
      <w:r>
        <w:rPr>
          <w:i/>
        </w:rPr>
        <w:t xml:space="preserve"> </w:t>
      </w:r>
      <w:r>
        <w:t xml:space="preserve">the number of observations and </w:t>
      </w:r>
      <w:r>
        <w:rPr>
          <w:i/>
        </w:rPr>
        <w:t xml:space="preserve">LL </w:t>
      </w:r>
      <w:r>
        <w:t xml:space="preserve">the maximised log-likelihood. </w:t>
      </w:r>
    </w:p>
  </w:footnote>
  <w:footnote w:id="7">
    <w:p w:rsidR="00F6522E" w:rsidRDefault="00F6522E" w:rsidP="00F6522E">
      <w:pPr>
        <w:pStyle w:val="FootnoteText"/>
      </w:pPr>
      <w:r>
        <w:rPr>
          <w:rStyle w:val="FootnoteReference"/>
        </w:rPr>
        <w:footnoteRef/>
      </w:r>
      <w:r>
        <w:t xml:space="preserve"> The Web Appendix can be found via the </w:t>
      </w:r>
      <w:r w:rsidR="00FE46CF">
        <w:rPr>
          <w:i/>
        </w:rPr>
        <w:t>Individual or Aggregate</w:t>
      </w:r>
      <w:r>
        <w:rPr>
          <w:i/>
        </w:rPr>
        <w:t xml:space="preserve">? </w:t>
      </w:r>
      <w:proofErr w:type="gramStart"/>
      <w:r>
        <w:t>tab</w:t>
      </w:r>
      <w:proofErr w:type="gramEnd"/>
      <w:r>
        <w:t xml:space="preserve"> on the </w:t>
      </w:r>
      <w:hyperlink r:id="rId3" w:history="1">
        <w:r w:rsidRPr="00973BE6">
          <w:rPr>
            <w:rStyle w:val="Hyperlink"/>
          </w:rPr>
          <w:t>ongoing projects</w:t>
        </w:r>
      </w:hyperlink>
      <w:r>
        <w:t xml:space="preserve"> page of the </w:t>
      </w:r>
      <w:hyperlink r:id="rId4" w:history="1">
        <w:r w:rsidRPr="00973BE6">
          <w:rPr>
            <w:rStyle w:val="Hyperlink"/>
          </w:rPr>
          <w:t>EXEC website</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D3CF6"/>
    <w:multiLevelType w:val="hybridMultilevel"/>
    <w:tmpl w:val="9932B06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D3"/>
    <w:rsid w:val="00001B8D"/>
    <w:rsid w:val="00006827"/>
    <w:rsid w:val="00016910"/>
    <w:rsid w:val="00046671"/>
    <w:rsid w:val="00060B91"/>
    <w:rsid w:val="00062649"/>
    <w:rsid w:val="000861BF"/>
    <w:rsid w:val="00097C33"/>
    <w:rsid w:val="000A177E"/>
    <w:rsid w:val="000B14EF"/>
    <w:rsid w:val="000B4C82"/>
    <w:rsid w:val="000C10C7"/>
    <w:rsid w:val="000E39DE"/>
    <w:rsid w:val="00104DFB"/>
    <w:rsid w:val="00116C8C"/>
    <w:rsid w:val="001175EB"/>
    <w:rsid w:val="001366C9"/>
    <w:rsid w:val="00141B6C"/>
    <w:rsid w:val="00146B0B"/>
    <w:rsid w:val="00146BDA"/>
    <w:rsid w:val="00164040"/>
    <w:rsid w:val="00173EFC"/>
    <w:rsid w:val="00180408"/>
    <w:rsid w:val="00184378"/>
    <w:rsid w:val="001878EB"/>
    <w:rsid w:val="001A335A"/>
    <w:rsid w:val="001A7483"/>
    <w:rsid w:val="001B188D"/>
    <w:rsid w:val="001C1BF6"/>
    <w:rsid w:val="001C3A42"/>
    <w:rsid w:val="001C5537"/>
    <w:rsid w:val="001F223E"/>
    <w:rsid w:val="001F2FFC"/>
    <w:rsid w:val="00201E42"/>
    <w:rsid w:val="00213E99"/>
    <w:rsid w:val="00217D6A"/>
    <w:rsid w:val="002213FD"/>
    <w:rsid w:val="00240818"/>
    <w:rsid w:val="00241705"/>
    <w:rsid w:val="00275EFB"/>
    <w:rsid w:val="002A0299"/>
    <w:rsid w:val="002C2312"/>
    <w:rsid w:val="002F2447"/>
    <w:rsid w:val="003008AE"/>
    <w:rsid w:val="003076E8"/>
    <w:rsid w:val="003317FE"/>
    <w:rsid w:val="0035033F"/>
    <w:rsid w:val="00350916"/>
    <w:rsid w:val="00354C1D"/>
    <w:rsid w:val="00364119"/>
    <w:rsid w:val="00372604"/>
    <w:rsid w:val="0037408F"/>
    <w:rsid w:val="00374B28"/>
    <w:rsid w:val="00385F08"/>
    <w:rsid w:val="003923F7"/>
    <w:rsid w:val="003B5CFC"/>
    <w:rsid w:val="003C1EB1"/>
    <w:rsid w:val="003C3E1C"/>
    <w:rsid w:val="003D2BEF"/>
    <w:rsid w:val="003D51A2"/>
    <w:rsid w:val="003E31CC"/>
    <w:rsid w:val="004070D5"/>
    <w:rsid w:val="00415CC8"/>
    <w:rsid w:val="00416AB7"/>
    <w:rsid w:val="00426C9C"/>
    <w:rsid w:val="0043432F"/>
    <w:rsid w:val="004507A4"/>
    <w:rsid w:val="0045407D"/>
    <w:rsid w:val="00497E23"/>
    <w:rsid w:val="004A4F73"/>
    <w:rsid w:val="004A7CD1"/>
    <w:rsid w:val="004B1E8E"/>
    <w:rsid w:val="004B2214"/>
    <w:rsid w:val="004C2FE4"/>
    <w:rsid w:val="004C56E1"/>
    <w:rsid w:val="004F00BD"/>
    <w:rsid w:val="004F41A0"/>
    <w:rsid w:val="004F4C06"/>
    <w:rsid w:val="004F6145"/>
    <w:rsid w:val="004F7756"/>
    <w:rsid w:val="00514A64"/>
    <w:rsid w:val="0052504B"/>
    <w:rsid w:val="00542B38"/>
    <w:rsid w:val="00556265"/>
    <w:rsid w:val="0056246C"/>
    <w:rsid w:val="00576DBA"/>
    <w:rsid w:val="0058545F"/>
    <w:rsid w:val="005A2842"/>
    <w:rsid w:val="005B4DFD"/>
    <w:rsid w:val="005D7095"/>
    <w:rsid w:val="005E081B"/>
    <w:rsid w:val="005F3449"/>
    <w:rsid w:val="005F7F19"/>
    <w:rsid w:val="00611293"/>
    <w:rsid w:val="00613CC0"/>
    <w:rsid w:val="00616324"/>
    <w:rsid w:val="00623188"/>
    <w:rsid w:val="00644E25"/>
    <w:rsid w:val="00676E18"/>
    <w:rsid w:val="00676E24"/>
    <w:rsid w:val="00685486"/>
    <w:rsid w:val="00693B3D"/>
    <w:rsid w:val="0069485C"/>
    <w:rsid w:val="006E1A2C"/>
    <w:rsid w:val="006F7A84"/>
    <w:rsid w:val="00705A00"/>
    <w:rsid w:val="0071671A"/>
    <w:rsid w:val="00732ABC"/>
    <w:rsid w:val="00737357"/>
    <w:rsid w:val="00760F83"/>
    <w:rsid w:val="00763D3A"/>
    <w:rsid w:val="007653F1"/>
    <w:rsid w:val="00777526"/>
    <w:rsid w:val="007A7E90"/>
    <w:rsid w:val="007C7EA8"/>
    <w:rsid w:val="007D5D7F"/>
    <w:rsid w:val="007E0B8C"/>
    <w:rsid w:val="007F1B5E"/>
    <w:rsid w:val="007F2DFC"/>
    <w:rsid w:val="007F4927"/>
    <w:rsid w:val="007F4B99"/>
    <w:rsid w:val="00821F76"/>
    <w:rsid w:val="00827120"/>
    <w:rsid w:val="008322E1"/>
    <w:rsid w:val="00837E40"/>
    <w:rsid w:val="00872BBC"/>
    <w:rsid w:val="00873145"/>
    <w:rsid w:val="008846C8"/>
    <w:rsid w:val="008939F2"/>
    <w:rsid w:val="00895541"/>
    <w:rsid w:val="008B7C53"/>
    <w:rsid w:val="008C2EF5"/>
    <w:rsid w:val="008C4D73"/>
    <w:rsid w:val="008C65B7"/>
    <w:rsid w:val="008C6B9D"/>
    <w:rsid w:val="008C77D3"/>
    <w:rsid w:val="008F5550"/>
    <w:rsid w:val="00900CB9"/>
    <w:rsid w:val="00913326"/>
    <w:rsid w:val="00917DD3"/>
    <w:rsid w:val="00926E34"/>
    <w:rsid w:val="00950B60"/>
    <w:rsid w:val="00952164"/>
    <w:rsid w:val="00954C25"/>
    <w:rsid w:val="00971B0C"/>
    <w:rsid w:val="00973BE6"/>
    <w:rsid w:val="00981ABE"/>
    <w:rsid w:val="00992341"/>
    <w:rsid w:val="009935DE"/>
    <w:rsid w:val="009A028C"/>
    <w:rsid w:val="009B44E3"/>
    <w:rsid w:val="009D7990"/>
    <w:rsid w:val="009F3B9B"/>
    <w:rsid w:val="00A052D2"/>
    <w:rsid w:val="00A352BF"/>
    <w:rsid w:val="00A52C56"/>
    <w:rsid w:val="00A53C6C"/>
    <w:rsid w:val="00A5415B"/>
    <w:rsid w:val="00A76D8A"/>
    <w:rsid w:val="00A8672A"/>
    <w:rsid w:val="00A93E8D"/>
    <w:rsid w:val="00AB785F"/>
    <w:rsid w:val="00AD49D3"/>
    <w:rsid w:val="00AF71F6"/>
    <w:rsid w:val="00B26A49"/>
    <w:rsid w:val="00B276D2"/>
    <w:rsid w:val="00B4468C"/>
    <w:rsid w:val="00B523AF"/>
    <w:rsid w:val="00B556B9"/>
    <w:rsid w:val="00B73E6C"/>
    <w:rsid w:val="00B90D03"/>
    <w:rsid w:val="00B9343F"/>
    <w:rsid w:val="00BC17B2"/>
    <w:rsid w:val="00BC181B"/>
    <w:rsid w:val="00BC3F14"/>
    <w:rsid w:val="00BC6DB1"/>
    <w:rsid w:val="00BD1B63"/>
    <w:rsid w:val="00BD66D7"/>
    <w:rsid w:val="00BD72EB"/>
    <w:rsid w:val="00BE16C7"/>
    <w:rsid w:val="00C069CE"/>
    <w:rsid w:val="00C53CFA"/>
    <w:rsid w:val="00C95F9F"/>
    <w:rsid w:val="00CB0308"/>
    <w:rsid w:val="00CD44F4"/>
    <w:rsid w:val="00CD7919"/>
    <w:rsid w:val="00D074EC"/>
    <w:rsid w:val="00D23013"/>
    <w:rsid w:val="00D25B17"/>
    <w:rsid w:val="00D27889"/>
    <w:rsid w:val="00D32E04"/>
    <w:rsid w:val="00D403FA"/>
    <w:rsid w:val="00D5178E"/>
    <w:rsid w:val="00D61F63"/>
    <w:rsid w:val="00D677D7"/>
    <w:rsid w:val="00D72053"/>
    <w:rsid w:val="00D82AB5"/>
    <w:rsid w:val="00DA2F7A"/>
    <w:rsid w:val="00DA5BC4"/>
    <w:rsid w:val="00DA5D63"/>
    <w:rsid w:val="00DE59BC"/>
    <w:rsid w:val="00DF0191"/>
    <w:rsid w:val="00DF24A6"/>
    <w:rsid w:val="00E07DBE"/>
    <w:rsid w:val="00E10C2C"/>
    <w:rsid w:val="00E12170"/>
    <w:rsid w:val="00E14892"/>
    <w:rsid w:val="00E16F7E"/>
    <w:rsid w:val="00E31EA8"/>
    <w:rsid w:val="00E42401"/>
    <w:rsid w:val="00E659B0"/>
    <w:rsid w:val="00E67802"/>
    <w:rsid w:val="00E9029C"/>
    <w:rsid w:val="00E97AB0"/>
    <w:rsid w:val="00EC3026"/>
    <w:rsid w:val="00ED64E7"/>
    <w:rsid w:val="00ED64E8"/>
    <w:rsid w:val="00EE0ED1"/>
    <w:rsid w:val="00EE3C12"/>
    <w:rsid w:val="00EE5DC0"/>
    <w:rsid w:val="00EF523A"/>
    <w:rsid w:val="00F03F59"/>
    <w:rsid w:val="00F0784F"/>
    <w:rsid w:val="00F13F23"/>
    <w:rsid w:val="00F16B7F"/>
    <w:rsid w:val="00F23515"/>
    <w:rsid w:val="00F320D7"/>
    <w:rsid w:val="00F50912"/>
    <w:rsid w:val="00F542C1"/>
    <w:rsid w:val="00F6522E"/>
    <w:rsid w:val="00F75B0A"/>
    <w:rsid w:val="00F8261B"/>
    <w:rsid w:val="00FB4FD4"/>
    <w:rsid w:val="00FC265E"/>
    <w:rsid w:val="00FC3375"/>
    <w:rsid w:val="00FC56C5"/>
    <w:rsid w:val="00FE061C"/>
    <w:rsid w:val="00FE46CF"/>
    <w:rsid w:val="00FF4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53"/>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90D03"/>
    <w:rPr>
      <w:rFonts w:cs="Times New Roman"/>
      <w:color w:val="0000FF"/>
      <w:u w:val="single"/>
    </w:rPr>
  </w:style>
  <w:style w:type="paragraph" w:styleId="ListParagraph">
    <w:name w:val="List Paragraph"/>
    <w:basedOn w:val="Normal"/>
    <w:uiPriority w:val="99"/>
    <w:qFormat/>
    <w:rsid w:val="00D677D7"/>
    <w:pPr>
      <w:ind w:left="720"/>
      <w:contextualSpacing/>
    </w:pPr>
  </w:style>
  <w:style w:type="paragraph" w:styleId="FootnoteText">
    <w:name w:val="footnote text"/>
    <w:basedOn w:val="Normal"/>
    <w:link w:val="FootnoteTextChar"/>
    <w:uiPriority w:val="99"/>
    <w:semiHidden/>
    <w:rsid w:val="0035033F"/>
    <w:rPr>
      <w:sz w:val="20"/>
      <w:szCs w:val="20"/>
    </w:rPr>
  </w:style>
  <w:style w:type="character" w:customStyle="1" w:styleId="FootnoteTextChar">
    <w:name w:val="Footnote Text Char"/>
    <w:basedOn w:val="DefaultParagraphFont"/>
    <w:link w:val="FootnoteText"/>
    <w:uiPriority w:val="99"/>
    <w:semiHidden/>
    <w:locked/>
    <w:rsid w:val="0035033F"/>
    <w:rPr>
      <w:rFonts w:cs="Times New Roman"/>
      <w:sz w:val="20"/>
      <w:szCs w:val="20"/>
    </w:rPr>
  </w:style>
  <w:style w:type="character" w:styleId="FootnoteReference">
    <w:name w:val="footnote reference"/>
    <w:basedOn w:val="DefaultParagraphFont"/>
    <w:uiPriority w:val="99"/>
    <w:semiHidden/>
    <w:rsid w:val="0035033F"/>
    <w:rPr>
      <w:rFonts w:cs="Times New Roman"/>
      <w:vertAlign w:val="superscript"/>
    </w:rPr>
  </w:style>
  <w:style w:type="paragraph" w:styleId="BalloonText">
    <w:name w:val="Balloon Text"/>
    <w:basedOn w:val="Normal"/>
    <w:link w:val="BalloonTextChar"/>
    <w:uiPriority w:val="99"/>
    <w:semiHidden/>
    <w:unhideWhenUsed/>
    <w:rsid w:val="00180408"/>
    <w:rPr>
      <w:rFonts w:ascii="Tahoma" w:hAnsi="Tahoma" w:cs="Tahoma"/>
      <w:sz w:val="16"/>
      <w:szCs w:val="16"/>
    </w:rPr>
  </w:style>
  <w:style w:type="character" w:customStyle="1" w:styleId="BalloonTextChar">
    <w:name w:val="Balloon Text Char"/>
    <w:basedOn w:val="DefaultParagraphFont"/>
    <w:link w:val="BalloonText"/>
    <w:uiPriority w:val="99"/>
    <w:semiHidden/>
    <w:rsid w:val="00180408"/>
    <w:rPr>
      <w:rFonts w:ascii="Tahoma" w:hAnsi="Tahoma" w:cs="Tahoma"/>
      <w:sz w:val="16"/>
      <w:szCs w:val="16"/>
      <w:lang w:val="en-GB" w:eastAsia="en-US"/>
    </w:rPr>
  </w:style>
  <w:style w:type="paragraph" w:styleId="Header">
    <w:name w:val="header"/>
    <w:basedOn w:val="Normal"/>
    <w:link w:val="HeaderChar"/>
    <w:uiPriority w:val="99"/>
    <w:unhideWhenUsed/>
    <w:rsid w:val="00DA5BC4"/>
    <w:pPr>
      <w:tabs>
        <w:tab w:val="center" w:pos="4513"/>
        <w:tab w:val="right" w:pos="9026"/>
      </w:tabs>
    </w:pPr>
  </w:style>
  <w:style w:type="character" w:customStyle="1" w:styleId="HeaderChar">
    <w:name w:val="Header Char"/>
    <w:basedOn w:val="DefaultParagraphFont"/>
    <w:link w:val="Header"/>
    <w:uiPriority w:val="99"/>
    <w:rsid w:val="00DA5BC4"/>
    <w:rPr>
      <w:lang w:val="en-GB" w:eastAsia="en-US"/>
    </w:rPr>
  </w:style>
  <w:style w:type="paragraph" w:styleId="Footer">
    <w:name w:val="footer"/>
    <w:basedOn w:val="Normal"/>
    <w:link w:val="FooterChar"/>
    <w:uiPriority w:val="99"/>
    <w:unhideWhenUsed/>
    <w:rsid w:val="00DA5BC4"/>
    <w:pPr>
      <w:tabs>
        <w:tab w:val="center" w:pos="4513"/>
        <w:tab w:val="right" w:pos="9026"/>
      </w:tabs>
    </w:pPr>
  </w:style>
  <w:style w:type="character" w:customStyle="1" w:styleId="FooterChar">
    <w:name w:val="Footer Char"/>
    <w:basedOn w:val="DefaultParagraphFont"/>
    <w:link w:val="Footer"/>
    <w:uiPriority w:val="99"/>
    <w:rsid w:val="00DA5BC4"/>
    <w:rPr>
      <w:lang w:val="en-GB" w:eastAsia="en-US"/>
    </w:rPr>
  </w:style>
  <w:style w:type="character" w:styleId="FollowedHyperlink">
    <w:name w:val="FollowedHyperlink"/>
    <w:basedOn w:val="DefaultParagraphFont"/>
    <w:uiPriority w:val="99"/>
    <w:semiHidden/>
    <w:unhideWhenUsed/>
    <w:rsid w:val="0052504B"/>
    <w:rPr>
      <w:color w:val="800080" w:themeColor="followedHyperlink"/>
      <w:u w:val="single"/>
    </w:rPr>
  </w:style>
  <w:style w:type="table" w:styleId="TableGrid">
    <w:name w:val="Table Grid"/>
    <w:basedOn w:val="TableNormal"/>
    <w:locked/>
    <w:rsid w:val="00E65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53"/>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90D03"/>
    <w:rPr>
      <w:rFonts w:cs="Times New Roman"/>
      <w:color w:val="0000FF"/>
      <w:u w:val="single"/>
    </w:rPr>
  </w:style>
  <w:style w:type="paragraph" w:styleId="ListParagraph">
    <w:name w:val="List Paragraph"/>
    <w:basedOn w:val="Normal"/>
    <w:uiPriority w:val="99"/>
    <w:qFormat/>
    <w:rsid w:val="00D677D7"/>
    <w:pPr>
      <w:ind w:left="720"/>
      <w:contextualSpacing/>
    </w:pPr>
  </w:style>
  <w:style w:type="paragraph" w:styleId="FootnoteText">
    <w:name w:val="footnote text"/>
    <w:basedOn w:val="Normal"/>
    <w:link w:val="FootnoteTextChar"/>
    <w:uiPriority w:val="99"/>
    <w:semiHidden/>
    <w:rsid w:val="0035033F"/>
    <w:rPr>
      <w:sz w:val="20"/>
      <w:szCs w:val="20"/>
    </w:rPr>
  </w:style>
  <w:style w:type="character" w:customStyle="1" w:styleId="FootnoteTextChar">
    <w:name w:val="Footnote Text Char"/>
    <w:basedOn w:val="DefaultParagraphFont"/>
    <w:link w:val="FootnoteText"/>
    <w:uiPriority w:val="99"/>
    <w:semiHidden/>
    <w:locked/>
    <w:rsid w:val="0035033F"/>
    <w:rPr>
      <w:rFonts w:cs="Times New Roman"/>
      <w:sz w:val="20"/>
      <w:szCs w:val="20"/>
    </w:rPr>
  </w:style>
  <w:style w:type="character" w:styleId="FootnoteReference">
    <w:name w:val="footnote reference"/>
    <w:basedOn w:val="DefaultParagraphFont"/>
    <w:uiPriority w:val="99"/>
    <w:semiHidden/>
    <w:rsid w:val="0035033F"/>
    <w:rPr>
      <w:rFonts w:cs="Times New Roman"/>
      <w:vertAlign w:val="superscript"/>
    </w:rPr>
  </w:style>
  <w:style w:type="paragraph" w:styleId="BalloonText">
    <w:name w:val="Balloon Text"/>
    <w:basedOn w:val="Normal"/>
    <w:link w:val="BalloonTextChar"/>
    <w:uiPriority w:val="99"/>
    <w:semiHidden/>
    <w:unhideWhenUsed/>
    <w:rsid w:val="00180408"/>
    <w:rPr>
      <w:rFonts w:ascii="Tahoma" w:hAnsi="Tahoma" w:cs="Tahoma"/>
      <w:sz w:val="16"/>
      <w:szCs w:val="16"/>
    </w:rPr>
  </w:style>
  <w:style w:type="character" w:customStyle="1" w:styleId="BalloonTextChar">
    <w:name w:val="Balloon Text Char"/>
    <w:basedOn w:val="DefaultParagraphFont"/>
    <w:link w:val="BalloonText"/>
    <w:uiPriority w:val="99"/>
    <w:semiHidden/>
    <w:rsid w:val="00180408"/>
    <w:rPr>
      <w:rFonts w:ascii="Tahoma" w:hAnsi="Tahoma" w:cs="Tahoma"/>
      <w:sz w:val="16"/>
      <w:szCs w:val="16"/>
      <w:lang w:val="en-GB" w:eastAsia="en-US"/>
    </w:rPr>
  </w:style>
  <w:style w:type="paragraph" w:styleId="Header">
    <w:name w:val="header"/>
    <w:basedOn w:val="Normal"/>
    <w:link w:val="HeaderChar"/>
    <w:uiPriority w:val="99"/>
    <w:unhideWhenUsed/>
    <w:rsid w:val="00DA5BC4"/>
    <w:pPr>
      <w:tabs>
        <w:tab w:val="center" w:pos="4513"/>
        <w:tab w:val="right" w:pos="9026"/>
      </w:tabs>
    </w:pPr>
  </w:style>
  <w:style w:type="character" w:customStyle="1" w:styleId="HeaderChar">
    <w:name w:val="Header Char"/>
    <w:basedOn w:val="DefaultParagraphFont"/>
    <w:link w:val="Header"/>
    <w:uiPriority w:val="99"/>
    <w:rsid w:val="00DA5BC4"/>
    <w:rPr>
      <w:lang w:val="en-GB" w:eastAsia="en-US"/>
    </w:rPr>
  </w:style>
  <w:style w:type="paragraph" w:styleId="Footer">
    <w:name w:val="footer"/>
    <w:basedOn w:val="Normal"/>
    <w:link w:val="FooterChar"/>
    <w:uiPriority w:val="99"/>
    <w:unhideWhenUsed/>
    <w:rsid w:val="00DA5BC4"/>
    <w:pPr>
      <w:tabs>
        <w:tab w:val="center" w:pos="4513"/>
        <w:tab w:val="right" w:pos="9026"/>
      </w:tabs>
    </w:pPr>
  </w:style>
  <w:style w:type="character" w:customStyle="1" w:styleId="FooterChar">
    <w:name w:val="Footer Char"/>
    <w:basedOn w:val="DefaultParagraphFont"/>
    <w:link w:val="Footer"/>
    <w:uiPriority w:val="99"/>
    <w:rsid w:val="00DA5BC4"/>
    <w:rPr>
      <w:lang w:val="en-GB" w:eastAsia="en-US"/>
    </w:rPr>
  </w:style>
  <w:style w:type="character" w:styleId="FollowedHyperlink">
    <w:name w:val="FollowedHyperlink"/>
    <w:basedOn w:val="DefaultParagraphFont"/>
    <w:uiPriority w:val="99"/>
    <w:semiHidden/>
    <w:unhideWhenUsed/>
    <w:rsid w:val="0052504B"/>
    <w:rPr>
      <w:color w:val="800080" w:themeColor="followedHyperlink"/>
      <w:u w:val="single"/>
    </w:rPr>
  </w:style>
  <w:style w:type="table" w:styleId="TableGrid">
    <w:name w:val="Table Grid"/>
    <w:basedOn w:val="TableNormal"/>
    <w:locked/>
    <w:rsid w:val="00E65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york.ac.uk/economics/research/centres/experimental-economics/research/ongoing-projec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york.ac.uk/economics/research/research-clusters/experimental-economics/research/ongoing-projects/" TargetMode="External"/><Relationship Id="rId2" Type="http://schemas.openxmlformats.org/officeDocument/2006/relationships/hyperlink" Target="http://www.york.ac.uk/economics/research/centres/experimental-economics/" TargetMode="External"/><Relationship Id="rId1" Type="http://schemas.openxmlformats.org/officeDocument/2006/relationships/hyperlink" Target="http://www.york.ac.uk/economics/research/centres/experimental-economics/research/ongoing-projects/" TargetMode="External"/><Relationship Id="rId4" Type="http://schemas.openxmlformats.org/officeDocument/2006/relationships/hyperlink" Target="http://www.york.ac.uk/economics/research/research-clusters/experimental-economics/research/ongoing-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AD8C8-5D0E-4255-BD93-6BB9B29B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BBA1EFB3.dotm</Template>
  <TotalTime>3</TotalTime>
  <Pages>5</Pages>
  <Words>1673</Words>
  <Characters>8788</Characters>
  <Application>Microsoft Office Word</Application>
  <DocSecurity>0</DocSecurity>
  <Lines>199</Lines>
  <Paragraphs>103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Hey</cp:lastModifiedBy>
  <cp:revision>3</cp:revision>
  <cp:lastPrinted>2014-01-30T12:16:00Z</cp:lastPrinted>
  <dcterms:created xsi:type="dcterms:W3CDTF">2014-01-30T14:30:00Z</dcterms:created>
  <dcterms:modified xsi:type="dcterms:W3CDTF">2014-01-30T14:34:00Z</dcterms:modified>
</cp:coreProperties>
</file>